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70"/>
      </w:tblGrid>
      <w:tr w:rsidR="00FD2CCF" w:rsidRPr="00FD2CCF">
        <w:trPr>
          <w:trHeight w:val="840"/>
          <w:tblCellSpacing w:w="0" w:type="dxa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70"/>
            </w:tblGrid>
            <w:tr w:rsidR="00FD2CCF" w:rsidRPr="00FD2CCF">
              <w:trPr>
                <w:trHeight w:val="675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D2CCF" w:rsidRPr="00FD2CCF" w:rsidRDefault="00FD2CCF" w:rsidP="00FD2CCF">
                  <w:pPr>
                    <w:widowControl/>
                    <w:spacing w:line="450" w:lineRule="atLeast"/>
                    <w:jc w:val="center"/>
                    <w:rPr>
                      <w:rFonts w:ascii="ˎ̥" w:eastAsia="宋体" w:hAnsi="ˎ̥" w:cs="宋体" w:hint="eastAsia"/>
                      <w:b/>
                      <w:bCs/>
                      <w:color w:val="000000"/>
                      <w:kern w:val="0"/>
                      <w:sz w:val="38"/>
                      <w:szCs w:val="38"/>
                    </w:rPr>
                  </w:pP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38"/>
                      <w:szCs w:val="38"/>
                    </w:rPr>
                    <w:t>中学生如何避免网络成瘾</w:t>
                  </w:r>
                </w:p>
              </w:tc>
            </w:tr>
            <w:tr w:rsidR="00FD2CCF" w:rsidRPr="00FD2CCF">
              <w:trPr>
                <w:trHeight w:val="525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D2CCF" w:rsidRPr="00FD2CCF" w:rsidRDefault="00FD2CCF" w:rsidP="00FD2CCF">
                  <w:pPr>
                    <w:widowControl/>
                    <w:spacing w:line="330" w:lineRule="atLeast"/>
                    <w:jc w:val="center"/>
                    <w:rPr>
                      <w:rFonts w:ascii="ˎ̥" w:eastAsia="宋体" w:hAnsi="ˎ̥" w:cs="宋体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4"/>
                      <w:szCs w:val="24"/>
                    </w:rPr>
                    <w:t>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4"/>
                      <w:szCs w:val="24"/>
                    </w:rPr>
                    <w:t>崔吉芳</w:t>
                  </w:r>
                </w:p>
              </w:tc>
            </w:tr>
          </w:tbl>
          <w:p w:rsidR="00FD2CCF" w:rsidRPr="00FD2CCF" w:rsidRDefault="00FD2CCF" w:rsidP="00FD2CCF">
            <w:pPr>
              <w:widowControl/>
              <w:spacing w:line="330" w:lineRule="atLeast"/>
              <w:jc w:val="left"/>
              <w:rPr>
                <w:rFonts w:ascii="ˎ̥" w:eastAsia="宋体" w:hAnsi="ˎ̥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FD2CCF" w:rsidRPr="00FD2CCF">
        <w:trPr>
          <w:trHeight w:val="420"/>
          <w:tblCellSpacing w:w="0" w:type="dxa"/>
        </w:trPr>
        <w:tc>
          <w:tcPr>
            <w:tcW w:w="0" w:type="auto"/>
            <w:shd w:val="clear" w:color="auto" w:fill="2678AC"/>
            <w:vAlign w:val="center"/>
            <w:hideMark/>
          </w:tcPr>
          <w:p w:rsidR="00FD2CCF" w:rsidRPr="00FD2CCF" w:rsidRDefault="00A66543" w:rsidP="00FD2CCF">
            <w:pPr>
              <w:widowControl/>
              <w:spacing w:line="330" w:lineRule="atLeast"/>
              <w:jc w:val="center"/>
              <w:rPr>
                <w:rFonts w:ascii="ˎ̥" w:eastAsia="宋体" w:hAnsi="ˎ̥" w:cs="宋体" w:hint="eastAsia"/>
                <w:color w:val="000000"/>
                <w:kern w:val="0"/>
                <w:sz w:val="24"/>
                <w:szCs w:val="24"/>
              </w:rPr>
            </w:pPr>
            <w:hyperlink r:id="rId5" w:history="1">
              <w:r w:rsidR="00FD2CCF" w:rsidRPr="00FD2CCF">
                <w:rPr>
                  <w:rFonts w:ascii="ˎ̥" w:eastAsia="宋体" w:hAnsi="ˎ̥" w:cs="宋体"/>
                  <w:color w:val="FFFFFF"/>
                  <w:kern w:val="0"/>
                  <w:sz w:val="24"/>
                  <w:szCs w:val="24"/>
                </w:rPr>
                <w:t>www.zgxzw.com</w:t>
              </w:r>
            </w:hyperlink>
            <w:r w:rsidR="00FD2CCF">
              <w:rPr>
                <w:rFonts w:ascii="ˎ̥" w:eastAsia="宋体" w:hAnsi="ˎ̥" w:cs="宋体"/>
                <w:color w:val="FFFFFF"/>
                <w:kern w:val="0"/>
                <w:sz w:val="24"/>
                <w:szCs w:val="24"/>
              </w:rPr>
              <w:t xml:space="preserve">  2015-1-2 </w:t>
            </w:r>
            <w:r w:rsidR="00FD2CCF" w:rsidRPr="00FD2CCF">
              <w:rPr>
                <w:rFonts w:ascii="ˎ̥" w:eastAsia="宋体" w:hAnsi="ˎ̥" w:cs="宋体"/>
                <w:color w:val="FFFFFF"/>
                <w:kern w:val="0"/>
                <w:sz w:val="24"/>
                <w:szCs w:val="24"/>
              </w:rPr>
              <w:t xml:space="preserve">　</w:t>
            </w:r>
            <w:r w:rsidR="00FD2CCF" w:rsidRPr="00FD2CCF">
              <w:rPr>
                <w:rFonts w:ascii="ˎ̥" w:eastAsia="宋体" w:hAnsi="ˎ̥" w:cs="宋体"/>
                <w:color w:val="FFFFFF"/>
                <w:kern w:val="0"/>
                <w:sz w:val="24"/>
                <w:szCs w:val="24"/>
              </w:rPr>
              <w:t xml:space="preserve"> </w:t>
            </w:r>
            <w:r w:rsidR="00FD2CCF" w:rsidRPr="00FD2CCF">
              <w:rPr>
                <w:rFonts w:ascii="ˎ̥" w:eastAsia="宋体" w:hAnsi="ˎ̥" w:cs="宋体"/>
                <w:color w:val="FFFFFF"/>
                <w:kern w:val="0"/>
                <w:sz w:val="24"/>
                <w:szCs w:val="24"/>
              </w:rPr>
              <w:t>：中国教育报</w:t>
            </w:r>
            <w:r w:rsidR="00FD2CCF" w:rsidRPr="00FD2CCF">
              <w:rPr>
                <w:rFonts w:ascii="ˎ̥" w:eastAsia="宋体" w:hAnsi="ˎ̥" w:cs="宋体"/>
                <w:color w:val="FFFFFF"/>
                <w:kern w:val="0"/>
                <w:sz w:val="24"/>
                <w:szCs w:val="24"/>
              </w:rPr>
              <w:t xml:space="preserve"> </w:t>
            </w:r>
          </w:p>
        </w:tc>
      </w:tr>
      <w:tr w:rsidR="00FD2CCF" w:rsidRPr="00FD2CCF">
        <w:trPr>
          <w:trHeight w:val="450"/>
          <w:tblCellSpacing w:w="0" w:type="dxa"/>
        </w:trPr>
        <w:tc>
          <w:tcPr>
            <w:tcW w:w="0" w:type="auto"/>
            <w:tcBorders>
              <w:bottom w:val="dotted" w:sz="6" w:space="0" w:color="E0E0E0"/>
            </w:tcBorders>
            <w:vAlign w:val="center"/>
            <w:hideMark/>
          </w:tcPr>
          <w:p w:rsidR="00FD2CCF" w:rsidRPr="00FD2CCF" w:rsidRDefault="00FD2CCF" w:rsidP="00FD2CCF">
            <w:pPr>
              <w:widowControl/>
              <w:spacing w:line="330" w:lineRule="atLeast"/>
              <w:jc w:val="left"/>
              <w:rPr>
                <w:rFonts w:ascii="ˎ̥" w:eastAsia="宋体" w:hAnsi="ˎ̥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FD2CCF" w:rsidRPr="00FD2CCF">
        <w:trPr>
          <w:trHeight w:val="1500"/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70"/>
            </w:tblGrid>
            <w:tr w:rsidR="00FD2CCF" w:rsidRPr="00FD2CCF">
              <w:trPr>
                <w:tblCellSpacing w:w="0" w:type="dxa"/>
              </w:trPr>
              <w:tc>
                <w:tcPr>
                  <w:tcW w:w="5000" w:type="pct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 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【调查概况】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中国互联网络信息中心发布的调查报告显示，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2013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年中国青少年网民规模已达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2.56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亿，占青少年总体的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71.8%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，其中又以中学生群体为最多，占青少年网民的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38.3%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。与此同时，如何保障青少年健康上网、避免他们网络成瘾或过度用网的问题也备受关注。不久前，北京师范大学发布的《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2013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年度北京市中小学生网络生活方式蓝皮书》指出，有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6.7%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的学生趋于过度用网，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1.8%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的学生过度用网。许多研究发现，网络应用的动机模式对于网络成瘾有预测作用，并且可以作为网络使用行为与身心健康的中介因素。本调查旨在对中学生上网的动机模式进行分析，考察其对中学生网络成瘾的影响，以期为中学生的网络使用与网络成瘾干预提供合理建议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本次调查内容主要包括两部分，一是有关中学生网络使用情况及网络成瘾诊断的相关问题，包括个人基本信息、网络使用频率、周上网时间、网络使用行为及网络成瘾症状等，共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15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个项目；二是有关中学生网络使用动机的相关问题，共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20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个项目，要求中学生对有关自己上网原因的表述进行评分。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本调查于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2013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3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至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4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月在北京市海淀区的两所中学发放问卷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820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份，共回收有效问卷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799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份，学生年龄为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12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至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17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岁，其中初中生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427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人，高中生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lastRenderedPageBreak/>
                    <w:t>372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人。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【结果分析】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 1.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超过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99%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的中学生曾经使用网络，经常或总是上网的学生占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56.1%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调查发现，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799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份有效问卷中，只有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4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名初中生表示从未使用网络，曾上网中学生超过被调查学生的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99%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。在网络使用频率方面，表示经常和总是上网的学生占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56.1%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，只有约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10%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的学生很少上网或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不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上网。整体而言，初、高中生的上网频率无显著差异；男女生的上网频率则差异显著，男生表示总是上网的频率高于女生（见图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center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 w:hint="eastAsia"/>
                      <w:noProof/>
                      <w:color w:val="000000"/>
                      <w:kern w:val="0"/>
                      <w:sz w:val="28"/>
                      <w:szCs w:val="28"/>
                    </w:rPr>
                    <w:drawing>
                      <wp:inline distT="0" distB="0" distL="0" distR="0" wp14:anchorId="7FEEA631" wp14:editId="016A9EAA">
                        <wp:extent cx="4492163" cy="2871157"/>
                        <wp:effectExtent l="0" t="0" r="3810" b="5715"/>
                        <wp:docPr id="5" name="图片 5" descr="http://www.zgxzw.com/bian2011/UploadFile/20151211521359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ww.zgxzw.com/bian2011/UploadFile/20151211521359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98901" cy="28754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上网时间方面，中学生的平均周上网时间为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9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小时，但个体间的差异较大，男生平均周上网时间（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10.1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小时）显著高于女生（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7.5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小时）。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 2.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近六成中学生可以熟练操作计算机，男生高于女生，初中生高于高中生。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lastRenderedPageBreak/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在计算机操作的熟练程度方面，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57.5%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的学生认为自己可以比较熟练或很熟练地操作计算机，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31.2%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的学生认为自己操作计算机的能力还行，只有约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10%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的中学生表示自己对计算机只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了解一点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。与网络使用频率一致，男生操作计算机的熟练程度（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65.5%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）也高于女生（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50.5%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）。同时，初中生可以熟练操作计算机的比例（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63.5%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）显著高于高中生（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50.4%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），这表明随着网络的普及，低龄青少年接触计算机的机会越来越多。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3.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台式或笔记本电脑是中学生上网的主要途径，手机成为上网的第二途径。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有关上网途径，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90%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的中学生选择了台式或笔记本电脑，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57.5%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的中学生选择了手机上网，同时选择这两种上网途径的学生达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50.7%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，可见电脑和手机是中学生最常用的两种上网方式。另有分别约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1/3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1/5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的中学生选择了平板电脑或其他方式（见图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2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center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 w:hint="eastAsia"/>
                      <w:noProof/>
                      <w:color w:val="000000"/>
                      <w:kern w:val="0"/>
                      <w:sz w:val="28"/>
                      <w:szCs w:val="28"/>
                    </w:rPr>
                    <w:drawing>
                      <wp:inline distT="0" distB="0" distL="0" distR="0" wp14:anchorId="725592C8" wp14:editId="57ECF73F">
                        <wp:extent cx="4813738" cy="3116751"/>
                        <wp:effectExtent l="0" t="0" r="6350" b="7620"/>
                        <wp:docPr id="4" name="图片 4" descr="http://www.zgxzw.com/bian2011/UploadFile/20151211533657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www.zgxzw.com/bian2011/UploadFile/20151211533657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13611" cy="31166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 xml:space="preserve">     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初中生与高中生对上网途径的选择略有差异，初中生选择台式或笔记本电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lastRenderedPageBreak/>
                    <w:t>脑的比例（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92.0%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）略高于高中生（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87.7%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），而高中生选择手机上网的比例（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68.4%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）明显高于初中生（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48.4%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4.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听音乐、看电影、查资料、聊天是中学生最常见的网络使用行为。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调查发现，中学生上网最经常做的事情是听音乐、看电影、查资料、聊天等，选择比例均超过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2/3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，可见中学生的网络使用行为以娱乐、社交、信息获取为主。初中生与高中生的选择基本一致，初中生选择联机游戏或小游戏的比例略高。男女中学生的选择表现出一定的一致性，又有所差异。相对而言，女生多项网络行为的选择比例高于男生，但玩游戏、看新闻、网络聊天的比例则低于男生，特别是联机游戏，男生的选择比例高达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66.2%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，排在各行为的第五位，而女生的选择比例只有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22.1%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，在各种网络行为中选择比例最低。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 5.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中学生网络成瘾比例男生高于女生。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根据匹兹堡大学心理学教授金伯利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·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扬的标准，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8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项网络成瘾症状中存在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5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项及以上，即诊断为网络成瘾，结果发现，参与调查中学生中，网络成瘾的检出率为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10.3%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，男生的检出率为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14.8%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，显著高于女生的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5.8%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 6.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网瘾中学生的学习成绩更差，上网频率更高，更热衷网络游戏。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分析网络成瘾与学习成绩、网络使用行为的联系发现，超过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1/3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网瘾中学生的学习成绩较差，成绩优等的网瘾中学生比例偏低（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16.5%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）（见图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3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）；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center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 w:hint="eastAsia"/>
                      <w:noProof/>
                      <w:color w:val="000000"/>
                      <w:kern w:val="0"/>
                      <w:sz w:val="28"/>
                      <w:szCs w:val="28"/>
                    </w:rPr>
                    <w:lastRenderedPageBreak/>
                    <w:drawing>
                      <wp:inline distT="0" distB="0" distL="0" distR="0" wp14:anchorId="38D6032E" wp14:editId="0544C6A5">
                        <wp:extent cx="4351282" cy="2660888"/>
                        <wp:effectExtent l="0" t="0" r="0" b="6350"/>
                        <wp:docPr id="3" name="图片 3" descr="http://www.zgxzw.com/bian2011/UploadFile/20151211525043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www.zgxzw.com/bian2011/UploadFile/20151211525043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51082" cy="26607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 xml:space="preserve">    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网瘾中学生的网络使用频率也显著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高于非网瘾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学生，经常或总是上网的接近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80%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，远高于一般中学生的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53.7%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；网瘾中学生与一般中学生上网经常做的事情具有一致性，都是以娱乐、社交、信息获取类的活动居多，但网瘾中学生参与联机游戏或小游戏的比例明显更高，同时参与网络聊天的比例也偏高，而上网查资料的比例略低（见图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4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center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 w:hint="eastAsia"/>
                      <w:noProof/>
                      <w:color w:val="000000"/>
                      <w:kern w:val="0"/>
                      <w:sz w:val="28"/>
                      <w:szCs w:val="28"/>
                    </w:rPr>
                    <w:lastRenderedPageBreak/>
                    <w:drawing>
                      <wp:inline distT="0" distB="0" distL="0" distR="0" wp14:anchorId="3A854DA2" wp14:editId="27000157">
                        <wp:extent cx="4740165" cy="4492425"/>
                        <wp:effectExtent l="0" t="0" r="3810" b="3810"/>
                        <wp:docPr id="2" name="图片 2" descr="http://www.zgxzw.com/bian2011/UploadFile/20151211525913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www.zgxzw.com/bian2011/UploadFile/20151211525913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39846" cy="44921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7.</w:t>
                  </w:r>
                  <w:proofErr w:type="gramStart"/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网瘾组中学生</w:t>
                  </w:r>
                  <w:proofErr w:type="gramEnd"/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的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情感调节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动机强度显著</w:t>
                  </w:r>
                  <w:proofErr w:type="gramStart"/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高于非网瘾</w:t>
                  </w:r>
                  <w:proofErr w:type="gramEnd"/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组。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中学生的上网动机可以分为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情感调节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工具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信息获取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两种动机。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情感调节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动机得分高，说明中学生主要出于满足情感联系和归属等需要，而将网络视为结交朋友、寻求安慰和排除烦恼的媒介，即基于情感联系、感情依托的动机使用网络。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工具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信息获取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动机得分高，说明中学生主要看重网络的工具功能，将网络视为满足信息获取、帮助学习等需要的一种辅助工具。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比较网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瘾组与非网瘾组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中学生两种上网动机的平均得分发现，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网瘾组中学生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的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情感调节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动机得分显著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高于非网瘾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组，而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工具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信息获取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lastRenderedPageBreak/>
                    <w:t>机的平均得分则略低。从组内来看，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非网瘾组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中学生上网的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工具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信息获取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动机显著高于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情感调节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动机，而网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瘾组两种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动机差异不显著，说明网瘾中学生的网络过度使用问题主要由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情感调节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动机所驱动，他们和一般上网中学生一样，认同网络的信息获取功能，但同时在情感联系上对网络更为非常依赖（见图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5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）。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center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 w:hint="eastAsia"/>
                      <w:noProof/>
                      <w:color w:val="000000"/>
                      <w:kern w:val="0"/>
                      <w:sz w:val="28"/>
                      <w:szCs w:val="28"/>
                    </w:rPr>
                    <w:drawing>
                      <wp:inline distT="0" distB="0" distL="0" distR="0" wp14:anchorId="46403701" wp14:editId="288AF762">
                        <wp:extent cx="4411359" cy="2563992"/>
                        <wp:effectExtent l="0" t="0" r="8255" b="8255"/>
                        <wp:docPr id="1" name="图片 1" descr="http://www.zgxzw.com/bian2011/UploadFile/2015121153968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zgxzw.com/bian2011/UploadFile/2015121153968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14323" cy="256571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8.“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情感调节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动机是中学生网络成瘾的风险因素，而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工具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信息获取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动机则是中学生网络成瘾的保护因素。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采用回归分析考察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情感调节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与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工具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信息获取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两种动机对中学生网络成瘾的作用，将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情感调节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与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工具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信息获取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两种动机得分作为自变量，网络成瘾得分作为因变量进行多元回归分析，发现回归方程成立，两种动机的回归系数均显著，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情感调节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动机得分越高，网络成瘾得分越高，而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工具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信息获取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动机得分越高，网络成瘾得分越低，即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情感调节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动机是中学生网络成瘾的风险因素，而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工具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信息获取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动机可以作为中学生网络成瘾的保护因素。相关分析的结果同样表明，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社会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情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lastRenderedPageBreak/>
                    <w:t>感调节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动机得分与网络成瘾得分呈显著正相关，同时与网络使用频率及每周上网时间也呈显著正相关。说明把结交朋友、寻求安慰及宣泄情感作为上网动机的中学生，更容易网络成瘾，更容易过度用网，给学习、生活带来负面影响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从具体上网动因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中学生对各种上网原因的选择强度来看，听音乐和看电影是中学生最大的上网动因，而网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瘾组与非网瘾组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差别最大的上网动因是玩在线游戏，说明一般中学生对在线游戏的参与度并不高。同时，相关分析表明，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获得认同与归属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与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玩在线游戏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两项上网动因对中学生网络成瘾的预测作用最大；而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听音乐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、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看电影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虽然是中学生上网的两项主要动因，但与网络成瘾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得分间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并无显著相关。上网动因对网络成瘾的预测，男女生略有差异，男生最大的预测动因是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获得认同与归属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”,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而女生则是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跟踪偶像和娱乐信息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【思考建议】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合理引导中学生的上网动因，帮助中学生健康用网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本次调查表明，网络使用在中学生群体中已经非常普遍，而网络功能的多元化，对中学生的生活方式、学习方式乃至人际互动模式都产生影响，如何引导中学生合理使用网络、避免网络成瘾也成为重要的研究课题。本调查从心理动力学理论出发，考察中学生的上网动因，分析其与网络成瘾的联系，发现中学生的上网动机对于网络成瘾具有显著的预测作用，基于调查发现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lastRenderedPageBreak/>
                    <w:t>对帮助中学生健康用网、预防网络成瘾提出如下建议。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1.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引导中学生正确使用网络，发挥网络的积极作用。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在当今信息化时代，计算机操作和网络运用已成为现代社会的必备技能，整体而言，网络使用对中学生的积极作用大于消极作用，为更好地发挥网络的积极作用，提升中学生的信息技能和信息素养，需要家庭、学校和社会做出更多努力。本调查中，我们发现北京市中学生的网络应用已经非常普遍，上网方式也相对多元，除电脑（或笔记本电脑）外，手机扮演着越来越重要的角色，同时平板电脑也逐渐丰富着中学生的上网体验，这些便携式设备的普及，也必然带来中学生群体网络应用更大的便捷性与随时性。这也提示教育者及家长，更应重视引导中学生养成健康合理的上网习惯，形成正确的网络认知，为他们提供积极的社会支持，提升他们网络使用时的自我调控能力以及现实生活参与意识，为中学生健康用网和身心发展保驾护航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2.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引导中学生合理看待网络的功用，重视发挥网络的工具功能，减弱中学生对网络的情感依赖。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中学生在网络中寻求安慰与归属、寻求与他人的情感联结的需求越强烈，越希望借助网络结交朋友、寻求安慰与支持以及宣泄情感，越容易产生对网络的过度依赖，进而影响学习和生活；而如果对网络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持相对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客观的态度，注重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其工具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功能，则有助于更好地发挥网络的积极作用，避免产生对网络的依赖。因此，应引导中学生将网络作为生活、学习的工具，强化网络在支持学习、获取资讯方面的工具功能，尽量弱化网络在中学生情感联结中的作用，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lastRenderedPageBreak/>
                    <w:t>避免中学生在情感上对网络的过度依赖。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3.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关注中学生的网络使用行为，丰富中学生的网络体验与在线学习资源。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调查发现，中学生的网络使用行为主要以娱乐、社交、信息获取为主。需要注意的是，虽然看电影、听音乐和玩在线游戏都是基于网络的娱乐行为，但对中学生的影响却有所不同，前两项娱乐活动在整个中学生群体都比较普遍，而玩在线游戏则主要是网瘾中学生的参与度较高，并且是对网络成瘾预测作用最大的上网动因之一。对比这两种类型的网络娱乐活动可以发现，看电影、听音乐主要是接受性的活动，个体的卷入程度相对较低，而在线游戏却需要个体比较高的参与和投入度，同时包含了社交的成分，一旦个体的情感投入过高，就比较容易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诱发网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瘾。同时，个别访谈发现，许多中学生表示，虽然大家都会上网，但对众多的网络功能了解得并不多、也不深入，使用的效率、效果也大打折扣，因此教育者和家长应更多地向中学生提供网络应用方面的方法指导。此外，广大教育者应根据中学生的特点和网络体验的需要，提供更多适用于中学生群体的网络学习资源，特别要增加资源的趣味性和互动性，以增强对中学生的吸引力，促进他们健康、高效用网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 4.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了解中学生网络应用的性别差异，提供有针对性的引导和干预。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调查发现，男女中学生的网络应用表现出了一定的性别差异，这些差异的产生，与男女生的个性特点有关，一般认为男生对技术兴趣更大，更具主动性和冲动性，而女生往往情感上更细腻。这些特点反映在他们的网络行为中。例如，同样是网络社交，男生更多选择在线聊天、在线游戏等即时性、交互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lastRenderedPageBreak/>
                    <w:t>性强的活动，同时在网上寻求交友对象的动机强度也高于女生；而女生更多选择访问空间、论坛、</w:t>
                  </w:r>
                  <w:proofErr w:type="gramStart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微博等</w:t>
                  </w:r>
                  <w:proofErr w:type="gramEnd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非即时性且带有更多接受性及分享性的活动。因此，对男女中学生上网行为的引导、干预应有所区别，注重发展各自优势，规避负面影响，例如将男生较强的行动力和能量引导到有益身心发展的网络活动中，发展他们的创造性，而对女生则多关注她们的情感体验与分享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 5.</w:t>
                  </w:r>
                  <w:r w:rsidRPr="00FD2CCF">
                    <w:rPr>
                      <w:rFonts w:ascii="ˎ̥" w:eastAsia="宋体" w:hAnsi="ˎ̥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引导中学生积极参与实践，丰富生活体验，鼓励他们在现实生活中寻求认同与归属。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ind w:firstLine="210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根据美国心理学家埃里克森的观点，中学生正处于人格发展的第五个重要阶段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——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青少年期（青春期）。这一时期，中学生由幼稚逐渐走向成熟，面临着身心发展的剧变，各种需要日益增长，视野更加开阔，寻求认同和归属、找到自己的位置、保持与社会的联系是他们的内在需求，而网络世界的生动、便捷、绚丽多彩等特点让心理需求满足更为易得，从而可能强化中学生对网络的依赖。因此，为避免中学生过度寄托网络满足这些需求，就要求家庭、学校、教育者为他们创设更丰富的生活体验和实践锻炼机会，同时提供积极的社会支持，让他们在现实生活、日常学习中拥有更强的归属感和成就感。</w:t>
                  </w: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ind w:firstLine="210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</w:p>
                <w:p w:rsidR="00FD2CCF" w:rsidRPr="00FD2CCF" w:rsidRDefault="00FD2CCF" w:rsidP="00FD2CCF">
                  <w:pPr>
                    <w:widowControl/>
                    <w:spacing w:before="100" w:beforeAutospacing="1" w:after="100" w:afterAutospacing="1"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    </w:t>
                  </w:r>
                  <w:r w:rsidR="00A66543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（作者单位：中国教育科学研究院。本文为</w:t>
                  </w:r>
                  <w:bookmarkStart w:id="0" w:name="_GoBack"/>
                  <w:bookmarkEnd w:id="0"/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教育科学研究院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2012</w:t>
                  </w:r>
                  <w:r w:rsidRPr="00FD2CCF"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专项基金小型调研项目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“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基于动机理论的中学生网络成瘾调查研究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”</w:t>
                  </w: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t>课题成果。）</w:t>
                  </w:r>
                </w:p>
              </w:tc>
            </w:tr>
            <w:tr w:rsidR="00FD2CCF" w:rsidRPr="00FD2CCF">
              <w:trPr>
                <w:tblCellSpacing w:w="0" w:type="dxa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D2CCF" w:rsidRPr="00FD2CCF" w:rsidRDefault="00FD2CCF" w:rsidP="00FD2CCF">
                  <w:pPr>
                    <w:widowControl/>
                    <w:spacing w:line="345" w:lineRule="atLeast"/>
                    <w:jc w:val="left"/>
                    <w:rPr>
                      <w:rFonts w:ascii="ˎ̥" w:eastAsia="宋体" w:hAnsi="ˎ̥" w:cs="宋体" w:hint="eastAsia"/>
                      <w:color w:val="000000"/>
                      <w:kern w:val="0"/>
                      <w:sz w:val="28"/>
                      <w:szCs w:val="28"/>
                    </w:rPr>
                  </w:pPr>
                  <w:r w:rsidRPr="00FD2CCF">
                    <w:rPr>
                      <w:rFonts w:ascii="ˎ̥" w:eastAsia="宋体" w:hAnsi="ˎ̥" w:cs="宋体"/>
                      <w:color w:val="000000"/>
                      <w:kern w:val="0"/>
                      <w:sz w:val="28"/>
                      <w:szCs w:val="28"/>
                    </w:rPr>
                    <w:lastRenderedPageBreak/>
                    <w:t> </w:t>
                  </w:r>
                </w:p>
              </w:tc>
            </w:tr>
          </w:tbl>
          <w:p w:rsidR="00FD2CCF" w:rsidRPr="00FD2CCF" w:rsidRDefault="00FD2CCF" w:rsidP="00FD2CCF">
            <w:pPr>
              <w:widowControl/>
              <w:spacing w:line="330" w:lineRule="atLeast"/>
              <w:jc w:val="left"/>
              <w:rPr>
                <w:rFonts w:ascii="ˎ̥" w:eastAsia="宋体" w:hAnsi="ˎ̥" w:cs="宋体" w:hint="eastAsia"/>
                <w:color w:val="000000"/>
                <w:kern w:val="0"/>
                <w:sz w:val="28"/>
                <w:szCs w:val="28"/>
              </w:rPr>
            </w:pPr>
          </w:p>
        </w:tc>
      </w:tr>
    </w:tbl>
    <w:p w:rsidR="00F055F5" w:rsidRPr="00FD2CCF" w:rsidRDefault="00F055F5">
      <w:pPr>
        <w:rPr>
          <w:sz w:val="28"/>
          <w:szCs w:val="28"/>
        </w:rPr>
      </w:pPr>
    </w:p>
    <w:sectPr w:rsidR="00F055F5" w:rsidRPr="00FD2C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CCF"/>
    <w:rsid w:val="00A66543"/>
    <w:rsid w:val="00F055F5"/>
    <w:rsid w:val="00FD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2CCF"/>
    <w:rPr>
      <w:strike w:val="0"/>
      <w:dstrike w:val="0"/>
      <w:color w:val="000000"/>
      <w:sz w:val="18"/>
      <w:szCs w:val="18"/>
      <w:u w:val="none"/>
      <w:effect w:val="none"/>
    </w:rPr>
  </w:style>
  <w:style w:type="paragraph" w:styleId="a4">
    <w:name w:val="Normal (Web)"/>
    <w:basedOn w:val="a"/>
    <w:uiPriority w:val="99"/>
    <w:unhideWhenUsed/>
    <w:rsid w:val="00FD2CC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bdsmore1">
    <w:name w:val="bds_more1"/>
    <w:basedOn w:val="a0"/>
    <w:rsid w:val="00FD2CCF"/>
    <w:rPr>
      <w:rFonts w:ascii="宋体" w:eastAsia="宋体" w:hAnsi="宋体" w:hint="eastAsia"/>
      <w:vanish w:val="0"/>
      <w:webHidden w:val="0"/>
      <w:specVanish w:val="0"/>
    </w:rPr>
  </w:style>
  <w:style w:type="character" w:styleId="a5">
    <w:name w:val="Strong"/>
    <w:basedOn w:val="a0"/>
    <w:uiPriority w:val="22"/>
    <w:qFormat/>
    <w:rsid w:val="00FD2CCF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FD2CCF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FD2CC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2CCF"/>
    <w:rPr>
      <w:strike w:val="0"/>
      <w:dstrike w:val="0"/>
      <w:color w:val="000000"/>
      <w:sz w:val="18"/>
      <w:szCs w:val="18"/>
      <w:u w:val="none"/>
      <w:effect w:val="none"/>
    </w:rPr>
  </w:style>
  <w:style w:type="paragraph" w:styleId="a4">
    <w:name w:val="Normal (Web)"/>
    <w:basedOn w:val="a"/>
    <w:uiPriority w:val="99"/>
    <w:unhideWhenUsed/>
    <w:rsid w:val="00FD2CC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bdsmore1">
    <w:name w:val="bds_more1"/>
    <w:basedOn w:val="a0"/>
    <w:rsid w:val="00FD2CCF"/>
    <w:rPr>
      <w:rFonts w:ascii="宋体" w:eastAsia="宋体" w:hAnsi="宋体" w:hint="eastAsia"/>
      <w:vanish w:val="0"/>
      <w:webHidden w:val="0"/>
      <w:specVanish w:val="0"/>
    </w:rPr>
  </w:style>
  <w:style w:type="character" w:styleId="a5">
    <w:name w:val="Strong"/>
    <w:basedOn w:val="a0"/>
    <w:uiPriority w:val="22"/>
    <w:qFormat/>
    <w:rsid w:val="00FD2CCF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FD2CCF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FD2CC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7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zgxzw.com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783</Words>
  <Characters>4466</Characters>
  <Application>Microsoft Office Word</Application>
  <DocSecurity>0</DocSecurity>
  <Lines>37</Lines>
  <Paragraphs>10</Paragraphs>
  <ScaleCrop>false</ScaleCrop>
  <Company>微软中国</Company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2015-01-04T09:35:00Z</dcterms:created>
  <dcterms:modified xsi:type="dcterms:W3CDTF">2015-01-04T09:42:00Z</dcterms:modified>
</cp:coreProperties>
</file>