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1663" w:rsidRPr="00FB1663" w:rsidRDefault="00FB1663" w:rsidP="00FB1663">
      <w:pPr>
        <w:widowControl/>
        <w:spacing w:before="100" w:beforeAutospacing="1" w:after="100" w:afterAutospacing="1"/>
        <w:ind w:firstLineChars="200" w:firstLine="631"/>
        <w:jc w:val="left"/>
        <w:outlineLvl w:val="0"/>
        <w:rPr>
          <w:rFonts w:ascii="宋体" w:eastAsia="宋体" w:hAnsi="宋体" w:cs="宋体"/>
          <w:b/>
          <w:bCs/>
          <w:color w:val="2B2B2B"/>
          <w:spacing w:val="-23"/>
          <w:kern w:val="36"/>
          <w:sz w:val="36"/>
          <w:szCs w:val="36"/>
        </w:rPr>
      </w:pPr>
      <w:r w:rsidRPr="00FB1663">
        <w:rPr>
          <w:rFonts w:ascii="宋体" w:eastAsia="宋体" w:hAnsi="宋体" w:cs="宋体" w:hint="eastAsia"/>
          <w:b/>
          <w:bCs/>
          <w:color w:val="2B2B2B"/>
          <w:spacing w:val="-23"/>
          <w:kern w:val="36"/>
          <w:sz w:val="36"/>
          <w:szCs w:val="36"/>
        </w:rPr>
        <w:t>古代中国和美洲文明，交流还是原创</w:t>
      </w:r>
    </w:p>
    <w:p w:rsidR="00FB1663" w:rsidRPr="00FB1663" w:rsidRDefault="00FB1663" w:rsidP="00FB1663">
      <w:pPr>
        <w:widowControl/>
        <w:spacing w:before="100" w:beforeAutospacing="1" w:after="100" w:afterAutospacing="1" w:line="330" w:lineRule="atLeast"/>
        <w:ind w:leftChars="1000" w:left="2100"/>
        <w:jc w:val="left"/>
        <w:rPr>
          <w:rFonts w:ascii="simsun" w:eastAsia="宋体" w:hAnsi="simsun" w:cs="宋体" w:hint="eastAsia"/>
          <w:color w:val="999999"/>
          <w:kern w:val="0"/>
          <w:sz w:val="24"/>
          <w:szCs w:val="24"/>
        </w:rPr>
      </w:pPr>
      <w:r w:rsidRPr="00FB1663">
        <w:rPr>
          <w:rFonts w:ascii="simsun" w:eastAsia="宋体" w:hAnsi="simsun" w:cs="宋体" w:hint="eastAsia"/>
          <w:color w:val="999999"/>
          <w:kern w:val="0"/>
          <w:sz w:val="24"/>
          <w:szCs w:val="24"/>
        </w:rPr>
        <w:t>2</w:t>
      </w:r>
      <w:r w:rsidRPr="00FB1663">
        <w:rPr>
          <w:rFonts w:ascii="simsun" w:eastAsia="宋体" w:hAnsi="simsun" w:cs="宋体"/>
          <w:color w:val="999999"/>
          <w:kern w:val="0"/>
          <w:sz w:val="24"/>
          <w:szCs w:val="24"/>
        </w:rPr>
        <w:t>015</w:t>
      </w:r>
      <w:r w:rsidRPr="00FB1663">
        <w:rPr>
          <w:rFonts w:ascii="simsun" w:eastAsia="宋体" w:hAnsi="simsun" w:cs="宋体"/>
          <w:color w:val="999999"/>
          <w:kern w:val="0"/>
          <w:sz w:val="24"/>
          <w:szCs w:val="24"/>
        </w:rPr>
        <w:t>年</w:t>
      </w:r>
      <w:r w:rsidRPr="00FB1663">
        <w:rPr>
          <w:rFonts w:ascii="simsun" w:eastAsia="宋体" w:hAnsi="simsun" w:cs="宋体"/>
          <w:color w:val="999999"/>
          <w:kern w:val="0"/>
          <w:sz w:val="24"/>
          <w:szCs w:val="24"/>
        </w:rPr>
        <w:t>06</w:t>
      </w:r>
      <w:r w:rsidRPr="00FB1663">
        <w:rPr>
          <w:rFonts w:ascii="simsun" w:eastAsia="宋体" w:hAnsi="simsun" w:cs="宋体"/>
          <w:color w:val="999999"/>
          <w:kern w:val="0"/>
          <w:sz w:val="24"/>
          <w:szCs w:val="24"/>
        </w:rPr>
        <w:t>月</w:t>
      </w:r>
      <w:r w:rsidRPr="00FB1663">
        <w:rPr>
          <w:rFonts w:ascii="simsun" w:eastAsia="宋体" w:hAnsi="simsun" w:cs="宋体"/>
          <w:color w:val="999999"/>
          <w:kern w:val="0"/>
          <w:sz w:val="24"/>
          <w:szCs w:val="24"/>
        </w:rPr>
        <w:t>03</w:t>
      </w:r>
      <w:r w:rsidRPr="00FB1663">
        <w:rPr>
          <w:rFonts w:ascii="simsun" w:eastAsia="宋体" w:hAnsi="simsun" w:cs="宋体"/>
          <w:color w:val="999999"/>
          <w:kern w:val="0"/>
          <w:sz w:val="24"/>
          <w:szCs w:val="24"/>
        </w:rPr>
        <w:t>日</w:t>
      </w:r>
      <w:r>
        <w:rPr>
          <w:rFonts w:ascii="simsun" w:eastAsia="宋体" w:hAnsi="simsun" w:cs="宋体"/>
          <w:color w:val="999999"/>
          <w:kern w:val="0"/>
          <w:sz w:val="24"/>
          <w:szCs w:val="24"/>
        </w:rPr>
        <w:t xml:space="preserve"> </w:t>
      </w:r>
      <w:r w:rsidRPr="00FB1663">
        <w:rPr>
          <w:rFonts w:ascii="simsun" w:eastAsia="宋体" w:hAnsi="simsun" w:cs="宋体"/>
          <w:color w:val="999999"/>
          <w:kern w:val="0"/>
          <w:sz w:val="24"/>
          <w:szCs w:val="24"/>
        </w:rPr>
        <w:br/>
      </w:r>
      <w:hyperlink r:id="rId5" w:tgtFrame="_blank" w:history="1">
        <w:r w:rsidRPr="00FB1663">
          <w:rPr>
            <w:rFonts w:ascii="simsun" w:eastAsia="宋体" w:hAnsi="simsun" w:cs="宋体"/>
            <w:color w:val="808080"/>
            <w:kern w:val="0"/>
            <w:sz w:val="24"/>
            <w:szCs w:val="24"/>
          </w:rPr>
          <w:t>光明日报</w:t>
        </w:r>
      </w:hyperlink>
      <w:r w:rsidRPr="00FB1663">
        <w:rPr>
          <w:rFonts w:ascii="simsun" w:eastAsia="宋体" w:hAnsi="simsun" w:cs="宋体"/>
          <w:color w:val="999999"/>
          <w:kern w:val="0"/>
          <w:sz w:val="24"/>
          <w:szCs w:val="24"/>
        </w:rPr>
        <w:t xml:space="preserve"> </w:t>
      </w:r>
      <w:r w:rsidRPr="00FB1663">
        <w:rPr>
          <w:rFonts w:ascii="simsun" w:eastAsia="宋体" w:hAnsi="simsun" w:cs="宋体"/>
          <w:color w:val="999999"/>
          <w:kern w:val="0"/>
          <w:sz w:val="24"/>
          <w:szCs w:val="24"/>
        </w:rPr>
        <w:t>作者：曹兵武</w:t>
      </w:r>
      <w:r w:rsidRPr="00FB1663">
        <w:rPr>
          <w:rFonts w:ascii="simsun" w:eastAsia="宋体" w:hAnsi="simsun" w:cs="宋体"/>
          <w:color w:val="999999"/>
          <w:kern w:val="0"/>
          <w:sz w:val="24"/>
          <w:szCs w:val="24"/>
        </w:rPr>
        <w:t xml:space="preserve"> </w:t>
      </w:r>
    </w:p>
    <w:p w:rsidR="00FB1663" w:rsidRPr="00FB1663" w:rsidRDefault="00FB1663" w:rsidP="00FB1663">
      <w:pPr>
        <w:widowControl/>
        <w:jc w:val="left"/>
        <w:rPr>
          <w:rFonts w:ascii="simsun" w:eastAsia="宋体" w:hAnsi="simsun" w:cs="宋体"/>
          <w:color w:val="2B2B2B"/>
          <w:kern w:val="0"/>
          <w:sz w:val="18"/>
          <w:szCs w:val="18"/>
        </w:rPr>
      </w:pPr>
    </w:p>
    <w:p w:rsidR="00FB1663" w:rsidRPr="00FB1663" w:rsidRDefault="00FB1663" w:rsidP="00FB1663">
      <w:pPr>
        <w:widowControl/>
        <w:spacing w:before="100" w:beforeAutospacing="1" w:after="375" w:line="360" w:lineRule="atLeast"/>
        <w:ind w:firstLine="420"/>
        <w:jc w:val="left"/>
        <w:rPr>
          <w:rFonts w:ascii="simsun" w:eastAsia="宋体" w:hAnsi="simsun" w:cs="宋体"/>
          <w:vanish/>
          <w:color w:val="2B2B2B"/>
          <w:kern w:val="0"/>
          <w:szCs w:val="21"/>
        </w:rPr>
      </w:pPr>
      <w:r w:rsidRPr="00FB1663">
        <w:rPr>
          <w:rFonts w:ascii="simsun" w:eastAsia="宋体" w:hAnsi="simsun" w:cs="宋体"/>
          <w:vanish/>
          <w:color w:val="2B2B2B"/>
          <w:kern w:val="0"/>
          <w:szCs w:val="21"/>
        </w:rPr>
        <w:t>发现于内蒙古赤峰敖汉旗兴龙沟的红山文化整身陶人像。陶器、农业是定居的村落、大规模增长的人口和复杂社会的技术与经济基础，所以，在其代表性地区之后走向文明社会也是必然的结果。</w:t>
      </w:r>
    </w:p>
    <w:p w:rsidR="00FB1663" w:rsidRPr="00FB1663" w:rsidRDefault="00FB1663" w:rsidP="00FB1663">
      <w:pPr>
        <w:widowControl/>
        <w:spacing w:after="150" w:line="360" w:lineRule="atLeast"/>
        <w:ind w:firstLine="420"/>
        <w:jc w:val="center"/>
        <w:rPr>
          <w:rFonts w:ascii="simsun" w:eastAsia="宋体" w:hAnsi="simsun" w:cs="宋体"/>
          <w:color w:val="2B2B2B"/>
          <w:kern w:val="0"/>
          <w:szCs w:val="21"/>
        </w:rPr>
      </w:pPr>
      <w:r w:rsidRPr="00FB1663">
        <w:rPr>
          <w:rFonts w:ascii="simsun" w:eastAsia="宋体" w:hAnsi="simsun" w:cs="宋体" w:hint="eastAsia"/>
          <w:noProof/>
          <w:color w:val="2B2B2B"/>
          <w:kern w:val="0"/>
          <w:szCs w:val="21"/>
        </w:rPr>
        <w:drawing>
          <wp:inline distT="0" distB="0" distL="0" distR="0" wp14:anchorId="24D12694" wp14:editId="06C1CB1E">
            <wp:extent cx="3810000" cy="4848225"/>
            <wp:effectExtent l="0" t="0" r="0" b="9525"/>
            <wp:docPr id="2" name="图片 2" descr="http://y0.ifengimg.com/1b8fadaee491a6c1/2015/0603/re_556e45c342d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y0.ifengimg.com/1b8fadaee491a6c1/2015/0603/re_556e45c342d40.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0" cy="4848225"/>
                    </a:xfrm>
                    <a:prstGeom prst="rect">
                      <a:avLst/>
                    </a:prstGeom>
                    <a:noFill/>
                    <a:ln>
                      <a:noFill/>
                    </a:ln>
                  </pic:spPr>
                </pic:pic>
              </a:graphicData>
            </a:graphic>
          </wp:inline>
        </w:drawing>
      </w:r>
    </w:p>
    <w:p w:rsidR="00FB1663" w:rsidRPr="00FB1663" w:rsidRDefault="00FB1663" w:rsidP="00FB1663">
      <w:pPr>
        <w:widowControl/>
        <w:spacing w:before="100" w:beforeAutospacing="1" w:after="375" w:line="360" w:lineRule="atLeast"/>
        <w:ind w:firstLine="420"/>
        <w:jc w:val="center"/>
        <w:rPr>
          <w:rFonts w:ascii="楷体_GB2312" w:eastAsia="楷体_GB2312" w:hAnsi="simsun" w:cs="宋体"/>
          <w:color w:val="2B2B2B"/>
          <w:kern w:val="0"/>
          <w:szCs w:val="21"/>
        </w:rPr>
      </w:pPr>
      <w:r w:rsidRPr="00FB1663">
        <w:rPr>
          <w:rFonts w:ascii="楷体_GB2312" w:eastAsia="楷体_GB2312" w:hAnsi="simsun" w:cs="宋体" w:hint="eastAsia"/>
          <w:color w:val="2B2B2B"/>
          <w:kern w:val="0"/>
          <w:szCs w:val="21"/>
        </w:rPr>
        <w:t>发现于内蒙古赤峰敖汉旗兴龙沟的红山文化</w:t>
      </w:r>
      <w:proofErr w:type="gramStart"/>
      <w:r w:rsidRPr="00FB1663">
        <w:rPr>
          <w:rFonts w:ascii="楷体_GB2312" w:eastAsia="楷体_GB2312" w:hAnsi="simsun" w:cs="宋体" w:hint="eastAsia"/>
          <w:color w:val="2B2B2B"/>
          <w:kern w:val="0"/>
          <w:szCs w:val="21"/>
        </w:rPr>
        <w:t>整身陶</w:t>
      </w:r>
      <w:proofErr w:type="gramEnd"/>
      <w:r w:rsidRPr="00FB1663">
        <w:rPr>
          <w:rFonts w:ascii="楷体_GB2312" w:eastAsia="楷体_GB2312" w:hAnsi="simsun" w:cs="宋体" w:hint="eastAsia"/>
          <w:color w:val="2B2B2B"/>
          <w:kern w:val="0"/>
          <w:szCs w:val="21"/>
        </w:rPr>
        <w:t>人像。它用泥质红陶烧制而成，通体磨光，</w:t>
      </w:r>
      <w:proofErr w:type="gramStart"/>
      <w:r w:rsidRPr="00FB1663">
        <w:rPr>
          <w:rFonts w:ascii="楷体_GB2312" w:eastAsia="楷体_GB2312" w:hAnsi="simsun" w:cs="宋体" w:hint="eastAsia"/>
          <w:color w:val="2B2B2B"/>
          <w:kern w:val="0"/>
          <w:szCs w:val="21"/>
        </w:rPr>
        <w:t>局部施黑彩</w:t>
      </w:r>
      <w:proofErr w:type="gramEnd"/>
      <w:r w:rsidRPr="00FB1663">
        <w:rPr>
          <w:rFonts w:ascii="楷体_GB2312" w:eastAsia="楷体_GB2312" w:hAnsi="simsun" w:cs="宋体" w:hint="eastAsia"/>
          <w:color w:val="2B2B2B"/>
          <w:kern w:val="0"/>
          <w:szCs w:val="21"/>
        </w:rPr>
        <w:t>。其身份疑为红山文化晚期的巫者和王者。李韵摄</w:t>
      </w:r>
    </w:p>
    <w:p w:rsidR="00FB1663" w:rsidRPr="00FB1663" w:rsidRDefault="00FB1663" w:rsidP="00FB1663">
      <w:pPr>
        <w:widowControl/>
        <w:spacing w:after="150" w:line="360" w:lineRule="atLeast"/>
        <w:ind w:firstLine="420"/>
        <w:jc w:val="center"/>
        <w:rPr>
          <w:rFonts w:ascii="simsun" w:eastAsia="宋体" w:hAnsi="simsun" w:cs="宋体" w:hint="eastAsia"/>
          <w:color w:val="2B2B2B"/>
          <w:kern w:val="0"/>
          <w:szCs w:val="21"/>
        </w:rPr>
      </w:pPr>
      <w:r w:rsidRPr="00FB1663">
        <w:rPr>
          <w:rFonts w:ascii="simsun" w:eastAsia="宋体" w:hAnsi="simsun" w:cs="宋体" w:hint="eastAsia"/>
          <w:noProof/>
          <w:color w:val="2B2B2B"/>
          <w:kern w:val="0"/>
          <w:szCs w:val="21"/>
        </w:rPr>
        <w:lastRenderedPageBreak/>
        <w:drawing>
          <wp:inline distT="0" distB="0" distL="0" distR="0" wp14:anchorId="6BDCA33D" wp14:editId="0A6F4796">
            <wp:extent cx="3209925" cy="5715000"/>
            <wp:effectExtent l="0" t="0" r="9525" b="0"/>
            <wp:docPr id="3" name="图片 3" descr="http://y0.ifengimg.com/1b8fadaee491a6c1/2015/0603/re_556e45c37030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y0.ifengimg.com/1b8fadaee491a6c1/2015/0603/re_556e45c37030d.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09925" cy="5715000"/>
                    </a:xfrm>
                    <a:prstGeom prst="rect">
                      <a:avLst/>
                    </a:prstGeom>
                    <a:noFill/>
                    <a:ln>
                      <a:noFill/>
                    </a:ln>
                  </pic:spPr>
                </pic:pic>
              </a:graphicData>
            </a:graphic>
          </wp:inline>
        </w:drawing>
      </w:r>
    </w:p>
    <w:p w:rsidR="00FB1663" w:rsidRPr="00FB1663" w:rsidRDefault="00FB1663" w:rsidP="00FB1663">
      <w:pPr>
        <w:widowControl/>
        <w:spacing w:before="100" w:beforeAutospacing="1" w:after="375" w:line="360" w:lineRule="atLeast"/>
        <w:ind w:firstLine="420"/>
        <w:jc w:val="center"/>
        <w:rPr>
          <w:rFonts w:ascii="楷体_GB2312" w:eastAsia="楷体_GB2312" w:hAnsi="simsun" w:cs="宋体"/>
          <w:color w:val="2B2B2B"/>
          <w:kern w:val="0"/>
          <w:szCs w:val="21"/>
        </w:rPr>
      </w:pPr>
      <w:r w:rsidRPr="00FB1663">
        <w:rPr>
          <w:rFonts w:ascii="楷体_GB2312" w:eastAsia="楷体_GB2312" w:hAnsi="simsun" w:cs="宋体" w:hint="eastAsia"/>
          <w:color w:val="2B2B2B"/>
          <w:kern w:val="0"/>
          <w:szCs w:val="21"/>
        </w:rPr>
        <w:t>发现于墨西哥特奥迪瓦坎月亮金字塔的马赛克人像。这是一位正在为月亮金字塔扩建工程进行隆重祭祀活动的人物。它半人半神，身体赤裸，没有性别。它的眼睛和嘴用绿石头、黑曜岩、珊瑚、石头以及玫瑰色贝壳片装饰，佩戴翡翠耳饰和绿色蛇纹岩制作的珠串项链。李韵摄</w:t>
      </w:r>
    </w:p>
    <w:p w:rsidR="00FB1663" w:rsidRPr="00FB1663" w:rsidRDefault="00FB1663" w:rsidP="00FB1663">
      <w:pPr>
        <w:widowControl/>
        <w:spacing w:before="100" w:beforeAutospacing="1" w:after="375" w:line="360" w:lineRule="atLeast"/>
        <w:ind w:firstLineChars="300" w:firstLine="632"/>
        <w:jc w:val="left"/>
        <w:rPr>
          <w:rFonts w:ascii="simsun" w:eastAsia="宋体" w:hAnsi="simsun" w:cs="宋体" w:hint="eastAsia"/>
          <w:color w:val="2B2B2B"/>
          <w:kern w:val="0"/>
          <w:szCs w:val="21"/>
        </w:rPr>
      </w:pPr>
      <w:bookmarkStart w:id="0" w:name="_GoBack"/>
      <w:bookmarkEnd w:id="0"/>
      <w:r w:rsidRPr="00FB1663">
        <w:rPr>
          <w:rFonts w:ascii="simsun" w:eastAsia="宋体" w:hAnsi="simsun" w:cs="宋体"/>
          <w:b/>
          <w:bCs/>
          <w:color w:val="2B2B2B"/>
          <w:kern w:val="0"/>
          <w:szCs w:val="21"/>
        </w:rPr>
        <w:t>中国文明与美洲文明有不少相似性</w:t>
      </w:r>
    </w:p>
    <w:p w:rsidR="00FB1663" w:rsidRPr="00FB1663" w:rsidRDefault="00FB1663" w:rsidP="00FB1663">
      <w:pPr>
        <w:widowControl/>
        <w:spacing w:before="100" w:beforeAutospacing="1" w:after="375" w:line="360" w:lineRule="atLeast"/>
        <w:ind w:firstLineChars="300" w:firstLine="632"/>
        <w:jc w:val="left"/>
        <w:rPr>
          <w:rFonts w:ascii="simsun" w:eastAsia="宋体" w:hAnsi="simsun" w:cs="宋体"/>
          <w:color w:val="2B2B2B"/>
          <w:kern w:val="0"/>
          <w:szCs w:val="21"/>
        </w:rPr>
      </w:pPr>
      <w:r w:rsidRPr="00FB1663">
        <w:rPr>
          <w:rFonts w:ascii="simsun" w:eastAsia="宋体" w:hAnsi="simsun" w:cs="宋体"/>
          <w:b/>
          <w:bCs/>
          <w:color w:val="2B2B2B"/>
          <w:kern w:val="0"/>
          <w:szCs w:val="21"/>
        </w:rPr>
        <w:t>印第安人的祖先从白令陆桥由亚洲到达美洲</w:t>
      </w:r>
    </w:p>
    <w:p w:rsidR="00FB1663" w:rsidRPr="00FB1663" w:rsidRDefault="00FB1663" w:rsidP="00FB1663">
      <w:pPr>
        <w:widowControl/>
        <w:spacing w:before="100" w:beforeAutospacing="1" w:after="375" w:line="360" w:lineRule="atLeast"/>
        <w:ind w:firstLineChars="300" w:firstLine="632"/>
        <w:jc w:val="left"/>
        <w:rPr>
          <w:rFonts w:ascii="simsun" w:eastAsia="宋体" w:hAnsi="simsun" w:cs="宋体"/>
          <w:color w:val="2B2B2B"/>
          <w:kern w:val="0"/>
          <w:szCs w:val="21"/>
        </w:rPr>
      </w:pPr>
      <w:r w:rsidRPr="00FB1663">
        <w:rPr>
          <w:rFonts w:ascii="simsun" w:eastAsia="宋体" w:hAnsi="simsun" w:cs="宋体"/>
          <w:b/>
          <w:bCs/>
          <w:color w:val="2B2B2B"/>
          <w:kern w:val="0"/>
          <w:szCs w:val="21"/>
        </w:rPr>
        <w:t>美洲与中国的文明形成特点迥异</w:t>
      </w:r>
    </w:p>
    <w:p w:rsidR="00FB1663" w:rsidRPr="00FB1663" w:rsidRDefault="00FB1663" w:rsidP="00FB1663">
      <w:pPr>
        <w:widowControl/>
        <w:spacing w:before="100" w:beforeAutospacing="1" w:after="375" w:line="360" w:lineRule="atLeast"/>
        <w:ind w:firstLine="420"/>
        <w:jc w:val="left"/>
        <w:rPr>
          <w:rFonts w:ascii="simsun" w:eastAsia="宋体" w:hAnsi="simsun" w:cs="宋体"/>
          <w:color w:val="2B2B2B"/>
          <w:kern w:val="0"/>
          <w:szCs w:val="21"/>
        </w:rPr>
      </w:pPr>
      <w:r w:rsidRPr="00FB1663">
        <w:rPr>
          <w:rFonts w:ascii="simsun" w:eastAsia="宋体" w:hAnsi="simsun" w:cs="宋体"/>
          <w:color w:val="2B2B2B"/>
          <w:kern w:val="0"/>
          <w:szCs w:val="21"/>
        </w:rPr>
        <w:lastRenderedPageBreak/>
        <w:t>我们对人类</w:t>
      </w:r>
      <w:proofErr w:type="gramStart"/>
      <w:r w:rsidRPr="00FB1663">
        <w:rPr>
          <w:rFonts w:ascii="simsun" w:eastAsia="宋体" w:hAnsi="simsun" w:cs="宋体"/>
          <w:color w:val="2B2B2B"/>
          <w:kern w:val="0"/>
          <w:szCs w:val="21"/>
        </w:rPr>
        <w:t>文明认识</w:t>
      </w:r>
      <w:proofErr w:type="gramEnd"/>
      <w:r w:rsidRPr="00FB1663">
        <w:rPr>
          <w:rFonts w:ascii="simsun" w:eastAsia="宋体" w:hAnsi="simsun" w:cs="宋体"/>
          <w:color w:val="2B2B2B"/>
          <w:kern w:val="0"/>
          <w:szCs w:val="21"/>
        </w:rPr>
        <w:t>一直是在比较中不断深化的。考古新发现与历史文献的比较研究，深化了我们对中国文明形成与发展的认识。在与其他古典文明的比较研究中，深化了我们对中国文明自身特点的认识。而今，随着中华文明探源工程的深入，中国社科院的考古工作者即将到洪都拉斯著名的</w:t>
      </w:r>
      <w:proofErr w:type="gramStart"/>
      <w:r w:rsidRPr="00FB1663">
        <w:rPr>
          <w:rFonts w:ascii="simsun" w:eastAsia="宋体" w:hAnsi="simsun" w:cs="宋体"/>
          <w:color w:val="2B2B2B"/>
          <w:kern w:val="0"/>
          <w:szCs w:val="21"/>
        </w:rPr>
        <w:t>玛</w:t>
      </w:r>
      <w:proofErr w:type="gramEnd"/>
      <w:r w:rsidRPr="00FB1663">
        <w:rPr>
          <w:rFonts w:ascii="simsun" w:eastAsia="宋体" w:hAnsi="simsun" w:cs="宋体"/>
          <w:color w:val="2B2B2B"/>
          <w:kern w:val="0"/>
          <w:szCs w:val="21"/>
        </w:rPr>
        <w:t>雅文明科</w:t>
      </w:r>
      <w:proofErr w:type="gramStart"/>
      <w:r w:rsidRPr="00FB1663">
        <w:rPr>
          <w:rFonts w:ascii="simsun" w:eastAsia="宋体" w:hAnsi="simsun" w:cs="宋体"/>
          <w:color w:val="2B2B2B"/>
          <w:kern w:val="0"/>
          <w:szCs w:val="21"/>
        </w:rPr>
        <w:t>潘</w:t>
      </w:r>
      <w:proofErr w:type="gramEnd"/>
      <w:r w:rsidRPr="00FB1663">
        <w:rPr>
          <w:rFonts w:ascii="simsun" w:eastAsia="宋体" w:hAnsi="simsun" w:cs="宋体"/>
          <w:color w:val="2B2B2B"/>
          <w:kern w:val="0"/>
          <w:szCs w:val="21"/>
        </w:rPr>
        <w:t>（</w:t>
      </w:r>
      <w:r w:rsidRPr="00FB1663">
        <w:rPr>
          <w:rFonts w:ascii="simsun" w:eastAsia="宋体" w:hAnsi="simsun" w:cs="宋体"/>
          <w:color w:val="2B2B2B"/>
          <w:kern w:val="0"/>
          <w:szCs w:val="21"/>
        </w:rPr>
        <w:t>Copan</w:t>
      </w:r>
      <w:r w:rsidRPr="00FB1663">
        <w:rPr>
          <w:rFonts w:ascii="simsun" w:eastAsia="宋体" w:hAnsi="simsun" w:cs="宋体"/>
          <w:color w:val="2B2B2B"/>
          <w:kern w:val="0"/>
          <w:szCs w:val="21"/>
        </w:rPr>
        <w:t>）遗址开展合作发掘与研究，首都师范大学也成立了中国与拉丁美洲古代文明比较研究所，将美洲古代文明确定为进行深入比较研究的对象，必将极大地推动中华文明探源的认识与进展。</w:t>
      </w:r>
    </w:p>
    <w:p w:rsidR="00FB1663" w:rsidRPr="00FB1663" w:rsidRDefault="00FB1663" w:rsidP="00FB1663">
      <w:pPr>
        <w:widowControl/>
        <w:spacing w:before="100" w:beforeAutospacing="1" w:after="375" w:line="360" w:lineRule="atLeast"/>
        <w:ind w:firstLine="420"/>
        <w:jc w:val="left"/>
        <w:rPr>
          <w:rFonts w:ascii="simsun" w:eastAsia="宋体" w:hAnsi="simsun" w:cs="宋体"/>
          <w:color w:val="2B2B2B"/>
          <w:kern w:val="0"/>
          <w:szCs w:val="21"/>
        </w:rPr>
      </w:pPr>
      <w:r w:rsidRPr="00FB1663">
        <w:rPr>
          <w:rFonts w:ascii="simsun" w:eastAsia="宋体" w:hAnsi="simsun" w:cs="宋体"/>
          <w:color w:val="2B2B2B"/>
          <w:kern w:val="0"/>
          <w:szCs w:val="21"/>
        </w:rPr>
        <w:t>将古代美洲作为研究和比较的对象，具有一些得天独厚的条件。因为从文明的形成与发展角度看，新大陆的考古与文明是个相对封闭、独立和界限分明的课题，也是个非常有趣的观察与比较的对象。在漫长的地质时代，新大陆曾经是</w:t>
      </w:r>
      <w:proofErr w:type="gramStart"/>
      <w:r w:rsidRPr="00FB1663">
        <w:rPr>
          <w:rFonts w:ascii="simsun" w:eastAsia="宋体" w:hAnsi="simsun" w:cs="宋体"/>
          <w:color w:val="2B2B2B"/>
          <w:kern w:val="0"/>
          <w:szCs w:val="21"/>
        </w:rPr>
        <w:t>块独立</w:t>
      </w:r>
      <w:proofErr w:type="gramEnd"/>
      <w:r w:rsidRPr="00FB1663">
        <w:rPr>
          <w:rFonts w:ascii="simsun" w:eastAsia="宋体" w:hAnsi="simsun" w:cs="宋体"/>
          <w:color w:val="2B2B2B"/>
          <w:kern w:val="0"/>
          <w:szCs w:val="21"/>
        </w:rPr>
        <w:t>演化的区域。综合各学科的最新成果，可以确定，美洲古代文明的主人</w:t>
      </w:r>
      <w:r w:rsidRPr="00FB1663">
        <w:rPr>
          <w:rFonts w:ascii="simsun" w:eastAsia="宋体" w:hAnsi="simsun" w:cs="宋体"/>
          <w:color w:val="2B2B2B"/>
          <w:kern w:val="0"/>
          <w:szCs w:val="21"/>
        </w:rPr>
        <w:t>——</w:t>
      </w:r>
      <w:r w:rsidRPr="00FB1663">
        <w:rPr>
          <w:rFonts w:ascii="simsun" w:eastAsia="宋体" w:hAnsi="simsun" w:cs="宋体"/>
          <w:color w:val="2B2B2B"/>
          <w:kern w:val="0"/>
          <w:szCs w:val="21"/>
        </w:rPr>
        <w:t>印第安人的祖先是在末次</w:t>
      </w:r>
      <w:proofErr w:type="gramStart"/>
      <w:r w:rsidRPr="00FB1663">
        <w:rPr>
          <w:rFonts w:ascii="simsun" w:eastAsia="宋体" w:hAnsi="simsun" w:cs="宋体"/>
          <w:color w:val="2B2B2B"/>
          <w:kern w:val="0"/>
          <w:szCs w:val="21"/>
        </w:rPr>
        <w:t>冰期最</w:t>
      </w:r>
      <w:proofErr w:type="gramEnd"/>
      <w:r w:rsidRPr="00FB1663">
        <w:rPr>
          <w:rFonts w:ascii="simsun" w:eastAsia="宋体" w:hAnsi="simsun" w:cs="宋体"/>
          <w:color w:val="2B2B2B"/>
          <w:kern w:val="0"/>
          <w:szCs w:val="21"/>
        </w:rPr>
        <w:t>盛期白令陆桥出露那个很短的时间窗里来到新大陆的，其来源也仅限于东北亚某地某支早期蒙古人群。之后他们又长期处于孤立、隔绝的状态下，直到西方文明重新发现了新大陆。尽管后来有维京人，可能还有中国人、日本人甚至是南岛语系的航海家都到过美洲，但是一则难以证实，二则对其文化和文明的发展基本上没有什么影响。因此，新大陆的文化与文明，从旧石器时代晚期到被西方文明摧毁的原始文明社会，走的是一条自主发展道路。这对观察文明的形成与演变极具参考价值。</w:t>
      </w:r>
    </w:p>
    <w:p w:rsidR="00FB1663" w:rsidRPr="00FB1663" w:rsidRDefault="00FB1663" w:rsidP="00FB1663">
      <w:pPr>
        <w:widowControl/>
        <w:spacing w:before="100" w:beforeAutospacing="1" w:after="375" w:line="360" w:lineRule="atLeast"/>
        <w:ind w:firstLine="420"/>
        <w:jc w:val="left"/>
        <w:rPr>
          <w:rFonts w:ascii="simsun" w:eastAsia="宋体" w:hAnsi="simsun" w:cs="宋体"/>
          <w:color w:val="2B2B2B"/>
          <w:kern w:val="0"/>
          <w:szCs w:val="21"/>
        </w:rPr>
      </w:pPr>
      <w:r w:rsidRPr="00FB1663">
        <w:rPr>
          <w:rFonts w:ascii="simsun" w:eastAsia="宋体" w:hAnsi="simsun" w:cs="宋体"/>
          <w:color w:val="2B2B2B"/>
          <w:kern w:val="0"/>
          <w:szCs w:val="21"/>
        </w:rPr>
        <w:t>不少人都认为美洲文明，尤其是中美洲的奥尔梅克和</w:t>
      </w:r>
      <w:proofErr w:type="gramStart"/>
      <w:r w:rsidRPr="00FB1663">
        <w:rPr>
          <w:rFonts w:ascii="simsun" w:eastAsia="宋体" w:hAnsi="simsun" w:cs="宋体"/>
          <w:color w:val="2B2B2B"/>
          <w:kern w:val="0"/>
          <w:szCs w:val="21"/>
        </w:rPr>
        <w:t>玛</w:t>
      </w:r>
      <w:proofErr w:type="gramEnd"/>
      <w:r w:rsidRPr="00FB1663">
        <w:rPr>
          <w:rFonts w:ascii="simsun" w:eastAsia="宋体" w:hAnsi="simsun" w:cs="宋体"/>
          <w:color w:val="2B2B2B"/>
          <w:kern w:val="0"/>
          <w:szCs w:val="21"/>
        </w:rPr>
        <w:t>雅文明等，和中国文明具有不少相似性，比如共同的天象观、尚爱美石（中国早期文明中的软玉文化和</w:t>
      </w:r>
      <w:proofErr w:type="gramStart"/>
      <w:r w:rsidRPr="00FB1663">
        <w:rPr>
          <w:rFonts w:ascii="simsun" w:eastAsia="宋体" w:hAnsi="simsun" w:cs="宋体"/>
          <w:color w:val="2B2B2B"/>
          <w:kern w:val="0"/>
          <w:szCs w:val="21"/>
        </w:rPr>
        <w:t>玛</w:t>
      </w:r>
      <w:proofErr w:type="gramEnd"/>
      <w:r w:rsidRPr="00FB1663">
        <w:rPr>
          <w:rFonts w:ascii="simsun" w:eastAsia="宋体" w:hAnsi="simsun" w:cs="宋体"/>
          <w:color w:val="2B2B2B"/>
          <w:kern w:val="0"/>
          <w:szCs w:val="21"/>
        </w:rPr>
        <w:t>雅文明中的硬玉文化）、巫术信仰以及一些陶器造型、纹饰及其他艺术要素等。张光直先生提出的</w:t>
      </w:r>
      <w:r w:rsidRPr="00FB1663">
        <w:rPr>
          <w:rFonts w:ascii="simsun" w:eastAsia="宋体" w:hAnsi="simsun" w:cs="宋体"/>
          <w:color w:val="2B2B2B"/>
          <w:kern w:val="0"/>
          <w:szCs w:val="21"/>
        </w:rPr>
        <w:t>“</w:t>
      </w:r>
      <w:r w:rsidRPr="00FB1663">
        <w:rPr>
          <w:rFonts w:ascii="simsun" w:eastAsia="宋体" w:hAnsi="simsun" w:cs="宋体"/>
          <w:color w:val="2B2B2B"/>
          <w:kern w:val="0"/>
          <w:szCs w:val="21"/>
        </w:rPr>
        <w:t>古代</w:t>
      </w:r>
      <w:proofErr w:type="gramStart"/>
      <w:r w:rsidRPr="00FB1663">
        <w:rPr>
          <w:rFonts w:ascii="simsun" w:eastAsia="宋体" w:hAnsi="simsun" w:cs="宋体"/>
          <w:color w:val="2B2B2B"/>
          <w:kern w:val="0"/>
          <w:szCs w:val="21"/>
        </w:rPr>
        <w:t>玛</w:t>
      </w:r>
      <w:proofErr w:type="gramEnd"/>
      <w:r w:rsidRPr="00FB1663">
        <w:rPr>
          <w:rFonts w:ascii="simsun" w:eastAsia="宋体" w:hAnsi="simsun" w:cs="宋体"/>
          <w:color w:val="2B2B2B"/>
          <w:kern w:val="0"/>
          <w:szCs w:val="21"/>
        </w:rPr>
        <w:t>雅</w:t>
      </w:r>
      <w:r w:rsidRPr="00FB1663">
        <w:rPr>
          <w:rFonts w:ascii="simsun" w:eastAsia="宋体" w:hAnsi="simsun" w:cs="宋体"/>
          <w:color w:val="2B2B2B"/>
          <w:kern w:val="0"/>
          <w:szCs w:val="21"/>
        </w:rPr>
        <w:t>-</w:t>
      </w:r>
      <w:r w:rsidRPr="00FB1663">
        <w:rPr>
          <w:rFonts w:ascii="simsun" w:eastAsia="宋体" w:hAnsi="simsun" w:cs="宋体"/>
          <w:color w:val="2B2B2B"/>
          <w:kern w:val="0"/>
          <w:szCs w:val="21"/>
        </w:rPr>
        <w:t>中国文化连续体</w:t>
      </w:r>
      <w:r w:rsidRPr="00FB1663">
        <w:rPr>
          <w:rFonts w:ascii="simsun" w:eastAsia="宋体" w:hAnsi="simsun" w:cs="宋体"/>
          <w:color w:val="2B2B2B"/>
          <w:kern w:val="0"/>
          <w:szCs w:val="21"/>
        </w:rPr>
        <w:t>”</w:t>
      </w:r>
      <w:r w:rsidRPr="00FB1663">
        <w:rPr>
          <w:rFonts w:ascii="simsun" w:eastAsia="宋体" w:hAnsi="simsun" w:cs="宋体"/>
          <w:color w:val="2B2B2B"/>
          <w:kern w:val="0"/>
          <w:szCs w:val="21"/>
        </w:rPr>
        <w:t>及环太平洋文化底层的假说，作为一种有力的解释，在国内学术界就非常有影响。看来，中美古代文明之间的这种相似性可能并非文化交流的结果，旧石器时代晚期或新旧石器过渡时代的文化，某些近似的文化基底或基因在其所奠定的基础上，各自成长与适应，进而分别形成了中美的古代文明</w:t>
      </w:r>
      <w:r w:rsidRPr="00FB1663">
        <w:rPr>
          <w:rFonts w:ascii="simsun" w:eastAsia="宋体" w:hAnsi="simsun" w:cs="宋体"/>
          <w:color w:val="2B2B2B"/>
          <w:kern w:val="0"/>
          <w:szCs w:val="21"/>
        </w:rPr>
        <w:t>——</w:t>
      </w:r>
      <w:r w:rsidRPr="00FB1663">
        <w:rPr>
          <w:rFonts w:ascii="simsun" w:eastAsia="宋体" w:hAnsi="simsun" w:cs="宋体"/>
          <w:color w:val="2B2B2B"/>
          <w:kern w:val="0"/>
          <w:szCs w:val="21"/>
        </w:rPr>
        <w:t>印第安人的祖先到达美洲时，很多其后来的文化与文明要素并不存在，但是，他们除了携带有形的工具等文化装备之外（比如贾兰坡先生早在</w:t>
      </w:r>
      <w:r w:rsidRPr="00FB1663">
        <w:rPr>
          <w:rFonts w:ascii="simsun" w:eastAsia="宋体" w:hAnsi="simsun" w:cs="宋体"/>
          <w:color w:val="2B2B2B"/>
          <w:kern w:val="0"/>
          <w:szCs w:val="21"/>
        </w:rPr>
        <w:t>1978</w:t>
      </w:r>
      <w:r w:rsidRPr="00FB1663">
        <w:rPr>
          <w:rFonts w:ascii="simsun" w:eastAsia="宋体" w:hAnsi="simsun" w:cs="宋体"/>
          <w:color w:val="2B2B2B"/>
          <w:kern w:val="0"/>
          <w:szCs w:val="21"/>
        </w:rPr>
        <w:t>年就提出，起源于华北地区的东北亚地区的细石器工业传统影响到西北美洲和中国西南地区），更可能拥有不少关于宇宙、自然、社会等方面的知识和信仰，这些帮助他们在美洲新的环境与文化进程中不断适应探索并开花结果，因此，其形成的若干表征自然会和东北亚、中国以及环太平洋地区具有一定的相似性。这既启示我们要认真评估旧石器时代晚期东北亚地区文化的基底有多么雄厚，也要反思中国文明乃至东北亚、整个旧大陆旧石器时代的文化基础及其可能性等问题。</w:t>
      </w:r>
    </w:p>
    <w:p w:rsidR="00FB1663" w:rsidRPr="00FB1663" w:rsidRDefault="00FB1663" w:rsidP="00FB1663">
      <w:pPr>
        <w:widowControl/>
        <w:spacing w:before="100" w:beforeAutospacing="1" w:after="375" w:line="360" w:lineRule="atLeast"/>
        <w:ind w:firstLine="420"/>
        <w:jc w:val="left"/>
        <w:rPr>
          <w:rFonts w:ascii="simsun" w:eastAsia="宋体" w:hAnsi="simsun" w:cs="宋体"/>
          <w:color w:val="2B2B2B"/>
          <w:kern w:val="0"/>
          <w:szCs w:val="21"/>
        </w:rPr>
      </w:pPr>
      <w:r w:rsidRPr="00FB1663">
        <w:rPr>
          <w:rFonts w:ascii="simsun" w:eastAsia="宋体" w:hAnsi="simsun" w:cs="宋体"/>
          <w:color w:val="2B2B2B"/>
          <w:kern w:val="0"/>
          <w:szCs w:val="21"/>
        </w:rPr>
        <w:t>美洲考古与文明发现及其研究，不断</w:t>
      </w:r>
      <w:proofErr w:type="gramStart"/>
      <w:r w:rsidRPr="00FB1663">
        <w:rPr>
          <w:rFonts w:ascii="simsun" w:eastAsia="宋体" w:hAnsi="simsun" w:cs="宋体"/>
          <w:color w:val="2B2B2B"/>
          <w:kern w:val="0"/>
          <w:szCs w:val="21"/>
        </w:rPr>
        <w:t>刷新着</w:t>
      </w:r>
      <w:proofErr w:type="gramEnd"/>
      <w:r w:rsidRPr="00FB1663">
        <w:rPr>
          <w:rFonts w:ascii="simsun" w:eastAsia="宋体" w:hAnsi="simsun" w:cs="宋体"/>
          <w:color w:val="2B2B2B"/>
          <w:kern w:val="0"/>
          <w:szCs w:val="21"/>
        </w:rPr>
        <w:t>我们关于文明与考古学文化的认识。综合各种资料和观点来看，印第安人的祖先穿越白令陆桥的时间窗口大约在距今</w:t>
      </w:r>
      <w:r w:rsidRPr="00FB1663">
        <w:rPr>
          <w:rFonts w:ascii="simsun" w:eastAsia="宋体" w:hAnsi="simsun" w:cs="宋体"/>
          <w:color w:val="2B2B2B"/>
          <w:kern w:val="0"/>
          <w:szCs w:val="21"/>
        </w:rPr>
        <w:t>1.6</w:t>
      </w:r>
      <w:r w:rsidRPr="00FB1663">
        <w:rPr>
          <w:rFonts w:ascii="simsun" w:eastAsia="宋体" w:hAnsi="simsun" w:cs="宋体"/>
          <w:color w:val="2B2B2B"/>
          <w:kern w:val="0"/>
          <w:szCs w:val="21"/>
        </w:rPr>
        <w:t>～</w:t>
      </w:r>
      <w:r w:rsidRPr="00FB1663">
        <w:rPr>
          <w:rFonts w:ascii="simsun" w:eastAsia="宋体" w:hAnsi="simsun" w:cs="宋体"/>
          <w:color w:val="2B2B2B"/>
          <w:kern w:val="0"/>
          <w:szCs w:val="21"/>
        </w:rPr>
        <w:t>1.5</w:t>
      </w:r>
      <w:r w:rsidRPr="00FB1663">
        <w:rPr>
          <w:rFonts w:ascii="simsun" w:eastAsia="宋体" w:hAnsi="simsun" w:cs="宋体"/>
          <w:color w:val="2B2B2B"/>
          <w:kern w:val="0"/>
          <w:szCs w:val="21"/>
        </w:rPr>
        <w:t>万年之后不长的时间段内。当然可能不只有一个批次的穿越者，比如，语言学家格林伯格（</w:t>
      </w:r>
      <w:r w:rsidRPr="00FB1663">
        <w:rPr>
          <w:rFonts w:ascii="simsun" w:eastAsia="宋体" w:hAnsi="simsun" w:cs="宋体"/>
          <w:color w:val="2B2B2B"/>
          <w:kern w:val="0"/>
          <w:szCs w:val="21"/>
        </w:rPr>
        <w:t>Joseph Harold Greenberg</w:t>
      </w:r>
      <w:r w:rsidRPr="00FB1663">
        <w:rPr>
          <w:rFonts w:ascii="simsun" w:eastAsia="宋体" w:hAnsi="simsun" w:cs="宋体"/>
          <w:color w:val="2B2B2B"/>
          <w:kern w:val="0"/>
          <w:szCs w:val="21"/>
        </w:rPr>
        <w:t>）曾根据美洲土著语言有纳得内语、因</w:t>
      </w:r>
      <w:proofErr w:type="gramStart"/>
      <w:r w:rsidRPr="00FB1663">
        <w:rPr>
          <w:rFonts w:ascii="simsun" w:eastAsia="宋体" w:hAnsi="simsun" w:cs="宋体"/>
          <w:color w:val="2B2B2B"/>
          <w:kern w:val="0"/>
          <w:szCs w:val="21"/>
        </w:rPr>
        <w:t>纽</w:t>
      </w:r>
      <w:proofErr w:type="gramEnd"/>
      <w:r w:rsidRPr="00FB1663">
        <w:rPr>
          <w:rFonts w:ascii="simsun" w:eastAsia="宋体" w:hAnsi="simsun" w:cs="宋体"/>
          <w:color w:val="2B2B2B"/>
          <w:kern w:val="0"/>
          <w:szCs w:val="21"/>
        </w:rPr>
        <w:t>特</w:t>
      </w:r>
      <w:r w:rsidRPr="00FB1663">
        <w:rPr>
          <w:rFonts w:ascii="simsun" w:eastAsia="宋体" w:hAnsi="simsun" w:cs="宋体"/>
          <w:color w:val="2B2B2B"/>
          <w:kern w:val="0"/>
          <w:szCs w:val="21"/>
        </w:rPr>
        <w:t>-</w:t>
      </w:r>
      <w:r w:rsidRPr="00FB1663">
        <w:rPr>
          <w:rFonts w:ascii="simsun" w:eastAsia="宋体" w:hAnsi="simsun" w:cs="宋体"/>
          <w:color w:val="2B2B2B"/>
          <w:kern w:val="0"/>
          <w:szCs w:val="21"/>
        </w:rPr>
        <w:t>阿</w:t>
      </w:r>
      <w:proofErr w:type="gramStart"/>
      <w:r w:rsidRPr="00FB1663">
        <w:rPr>
          <w:rFonts w:ascii="simsun" w:eastAsia="宋体" w:hAnsi="simsun" w:cs="宋体"/>
          <w:color w:val="2B2B2B"/>
          <w:kern w:val="0"/>
          <w:szCs w:val="21"/>
        </w:rPr>
        <w:t>留申语和</w:t>
      </w:r>
      <w:proofErr w:type="gramEnd"/>
      <w:r w:rsidRPr="00FB1663">
        <w:rPr>
          <w:rFonts w:ascii="simsun" w:eastAsia="宋体" w:hAnsi="simsun" w:cs="宋体"/>
          <w:color w:val="2B2B2B"/>
          <w:kern w:val="0"/>
          <w:szCs w:val="21"/>
        </w:rPr>
        <w:t>美洲印第安语三组，进而推测土著人至少分三波迁来。而且古印第安人很快就分布到包括南美在内的整个大陆，</w:t>
      </w:r>
      <w:r w:rsidRPr="00FB1663">
        <w:rPr>
          <w:rFonts w:ascii="simsun" w:eastAsia="宋体" w:hAnsi="simsun" w:cs="宋体"/>
          <w:color w:val="2B2B2B"/>
          <w:kern w:val="0"/>
          <w:szCs w:val="21"/>
        </w:rPr>
        <w:lastRenderedPageBreak/>
        <w:t>南美也已经发现了超过万年的人类遗存，其中包括陶器等遗存。中美洲的狭窄区域也发现了至少三次早期印第安人可能向南穿越的迹象，由此可见早期人类迁徙能力之强。中美洲墨西哥的坦马利帕斯地区以及瓦哈卡河谷和</w:t>
      </w:r>
      <w:proofErr w:type="gramStart"/>
      <w:r w:rsidRPr="00FB1663">
        <w:rPr>
          <w:rFonts w:ascii="simsun" w:eastAsia="宋体" w:hAnsi="simsun" w:cs="宋体"/>
          <w:color w:val="2B2B2B"/>
          <w:kern w:val="0"/>
          <w:szCs w:val="21"/>
        </w:rPr>
        <w:t>特瓦坎谷地</w:t>
      </w:r>
      <w:proofErr w:type="gramEnd"/>
      <w:r w:rsidRPr="00FB1663">
        <w:rPr>
          <w:rFonts w:ascii="simsun" w:eastAsia="宋体" w:hAnsi="simsun" w:cs="宋体"/>
          <w:color w:val="2B2B2B"/>
          <w:kern w:val="0"/>
          <w:szCs w:val="21"/>
        </w:rPr>
        <w:t>，早在距今</w:t>
      </w:r>
      <w:r w:rsidRPr="00FB1663">
        <w:rPr>
          <w:rFonts w:ascii="simsun" w:eastAsia="宋体" w:hAnsi="simsun" w:cs="宋体"/>
          <w:color w:val="2B2B2B"/>
          <w:kern w:val="0"/>
          <w:szCs w:val="21"/>
        </w:rPr>
        <w:t>9000</w:t>
      </w:r>
      <w:r w:rsidRPr="00FB1663">
        <w:rPr>
          <w:rFonts w:ascii="simsun" w:eastAsia="宋体" w:hAnsi="simsun" w:cs="宋体"/>
          <w:color w:val="2B2B2B"/>
          <w:kern w:val="0"/>
          <w:szCs w:val="21"/>
        </w:rPr>
        <w:t>年前已开始驯化玉米，这可能说明早期迁徙过来的人们关于制陶及动植物的知识基础是很雄厚的。当然，他们不可能直接携带了这些文化要素，而更可能是这些人在新大陆的环境下重新发现、认识和研发的结果。陶器、农业是定居的村落、大规模增长的人口和复杂社会的技术与经济基础，所以，在其代表性地区之后走向文明社会也是必然的结果。</w:t>
      </w:r>
    </w:p>
    <w:p w:rsidR="00FB1663" w:rsidRPr="00FB1663" w:rsidRDefault="00FB1663" w:rsidP="00FB1663">
      <w:pPr>
        <w:widowControl/>
        <w:spacing w:before="100" w:beforeAutospacing="1" w:after="375" w:line="360" w:lineRule="atLeast"/>
        <w:ind w:firstLine="420"/>
        <w:jc w:val="left"/>
        <w:rPr>
          <w:rFonts w:ascii="simsun" w:eastAsia="宋体" w:hAnsi="simsun" w:cs="宋体"/>
          <w:color w:val="2B2B2B"/>
          <w:kern w:val="0"/>
          <w:szCs w:val="21"/>
        </w:rPr>
      </w:pPr>
      <w:r w:rsidRPr="00FB1663">
        <w:rPr>
          <w:rFonts w:ascii="simsun" w:eastAsia="宋体" w:hAnsi="simsun" w:cs="宋体"/>
          <w:color w:val="2B2B2B"/>
          <w:kern w:val="0"/>
          <w:szCs w:val="21"/>
        </w:rPr>
        <w:t>新大陆的文明形成也不算太晚。奥尔梅克文明出现在大约公元前</w:t>
      </w:r>
      <w:r w:rsidRPr="00FB1663">
        <w:rPr>
          <w:rFonts w:ascii="simsun" w:eastAsia="宋体" w:hAnsi="simsun" w:cs="宋体"/>
          <w:color w:val="2B2B2B"/>
          <w:kern w:val="0"/>
          <w:szCs w:val="21"/>
        </w:rPr>
        <w:t>1600</w:t>
      </w:r>
      <w:r w:rsidRPr="00FB1663">
        <w:rPr>
          <w:rFonts w:ascii="simsun" w:eastAsia="宋体" w:hAnsi="simsun" w:cs="宋体"/>
          <w:color w:val="2B2B2B"/>
          <w:kern w:val="0"/>
          <w:szCs w:val="21"/>
        </w:rPr>
        <w:t>年，和中国的商代文明形成的时间差不多，这可能也是一些人认为其</w:t>
      </w:r>
      <w:proofErr w:type="gramStart"/>
      <w:r w:rsidRPr="00FB1663">
        <w:rPr>
          <w:rFonts w:ascii="simsun" w:eastAsia="宋体" w:hAnsi="simsun" w:cs="宋体"/>
          <w:color w:val="2B2B2B"/>
          <w:kern w:val="0"/>
          <w:szCs w:val="21"/>
        </w:rPr>
        <w:t>受到商文明</w:t>
      </w:r>
      <w:proofErr w:type="gramEnd"/>
      <w:r w:rsidRPr="00FB1663">
        <w:rPr>
          <w:rFonts w:ascii="simsun" w:eastAsia="宋体" w:hAnsi="simsun" w:cs="宋体"/>
          <w:color w:val="2B2B2B"/>
          <w:kern w:val="0"/>
          <w:szCs w:val="21"/>
        </w:rPr>
        <w:t>影响的表面原因之一吧。之后相继形成了中美和南美两个相对独立的文明中心。前者以分布在墨西哥的奥尔梅克文明为起点，包括后来非常兴盛的</w:t>
      </w:r>
      <w:proofErr w:type="gramStart"/>
      <w:r w:rsidRPr="00FB1663">
        <w:rPr>
          <w:rFonts w:ascii="simsun" w:eastAsia="宋体" w:hAnsi="simsun" w:cs="宋体"/>
          <w:color w:val="2B2B2B"/>
          <w:kern w:val="0"/>
          <w:szCs w:val="21"/>
        </w:rPr>
        <w:t>玛</w:t>
      </w:r>
      <w:proofErr w:type="gramEnd"/>
      <w:r w:rsidRPr="00FB1663">
        <w:rPr>
          <w:rFonts w:ascii="simsun" w:eastAsia="宋体" w:hAnsi="simsun" w:cs="宋体"/>
          <w:color w:val="2B2B2B"/>
          <w:kern w:val="0"/>
          <w:szCs w:val="21"/>
        </w:rPr>
        <w:t>雅和阿兹特克文明；后者以公元前</w:t>
      </w:r>
      <w:r w:rsidRPr="00FB1663">
        <w:rPr>
          <w:rFonts w:ascii="simsun" w:eastAsia="宋体" w:hAnsi="simsun" w:cs="宋体"/>
          <w:color w:val="2B2B2B"/>
          <w:kern w:val="0"/>
          <w:szCs w:val="21"/>
        </w:rPr>
        <w:t>900</w:t>
      </w:r>
      <w:r w:rsidRPr="00FB1663">
        <w:rPr>
          <w:rFonts w:ascii="simsun" w:eastAsia="宋体" w:hAnsi="simsun" w:cs="宋体"/>
          <w:color w:val="2B2B2B"/>
          <w:kern w:val="0"/>
          <w:szCs w:val="21"/>
        </w:rPr>
        <w:t>年兴起的秘鲁的查文文明为起点，一直到被西班牙人摧毁的印加文明。它们的发展水平也不低。印加文明管</w:t>
      </w:r>
      <w:proofErr w:type="gramStart"/>
      <w:r w:rsidRPr="00FB1663">
        <w:rPr>
          <w:rFonts w:ascii="simsun" w:eastAsia="宋体" w:hAnsi="simsun" w:cs="宋体"/>
          <w:color w:val="2B2B2B"/>
          <w:kern w:val="0"/>
          <w:szCs w:val="21"/>
        </w:rPr>
        <w:t>控着</w:t>
      </w:r>
      <w:proofErr w:type="gramEnd"/>
      <w:r w:rsidRPr="00FB1663">
        <w:rPr>
          <w:rFonts w:ascii="simsun" w:eastAsia="宋体" w:hAnsi="simsun" w:cs="宋体"/>
          <w:color w:val="2B2B2B"/>
          <w:kern w:val="0"/>
          <w:szCs w:val="21"/>
        </w:rPr>
        <w:t>达</w:t>
      </w:r>
      <w:r w:rsidRPr="00FB1663">
        <w:rPr>
          <w:rFonts w:ascii="simsun" w:eastAsia="宋体" w:hAnsi="simsun" w:cs="宋体"/>
          <w:color w:val="2B2B2B"/>
          <w:kern w:val="0"/>
          <w:szCs w:val="21"/>
        </w:rPr>
        <w:t>300</w:t>
      </w:r>
      <w:r w:rsidRPr="00FB1663">
        <w:rPr>
          <w:rFonts w:ascii="simsun" w:eastAsia="宋体" w:hAnsi="simsun" w:cs="宋体"/>
          <w:color w:val="2B2B2B"/>
          <w:kern w:val="0"/>
          <w:szCs w:val="21"/>
        </w:rPr>
        <w:t>万平方公里的范围，约</w:t>
      </w:r>
      <w:r w:rsidRPr="00FB1663">
        <w:rPr>
          <w:rFonts w:ascii="simsun" w:eastAsia="宋体" w:hAnsi="simsun" w:cs="宋体"/>
          <w:color w:val="2B2B2B"/>
          <w:kern w:val="0"/>
          <w:szCs w:val="21"/>
        </w:rPr>
        <w:t>600</w:t>
      </w:r>
      <w:r w:rsidRPr="00FB1663">
        <w:rPr>
          <w:rFonts w:ascii="simsun" w:eastAsia="宋体" w:hAnsi="simsun" w:cs="宋体"/>
          <w:color w:val="2B2B2B"/>
          <w:kern w:val="0"/>
          <w:szCs w:val="21"/>
        </w:rPr>
        <w:t>万人口，是当时世界上最大的政体之一。中美洲在西方人到达时有大约两千万人口。要知道，中国文明到秦帝国时期才达到两千万人口。它们的金字塔形建筑、巨石塑像、文字（</w:t>
      </w:r>
      <w:proofErr w:type="gramStart"/>
      <w:r w:rsidRPr="00FB1663">
        <w:rPr>
          <w:rFonts w:ascii="simsun" w:eastAsia="宋体" w:hAnsi="simsun" w:cs="宋体"/>
          <w:color w:val="2B2B2B"/>
          <w:kern w:val="0"/>
          <w:szCs w:val="21"/>
        </w:rPr>
        <w:t>玛</w:t>
      </w:r>
      <w:proofErr w:type="gramEnd"/>
      <w:r w:rsidRPr="00FB1663">
        <w:rPr>
          <w:rFonts w:ascii="simsun" w:eastAsia="宋体" w:hAnsi="simsun" w:cs="宋体"/>
          <w:color w:val="2B2B2B"/>
          <w:kern w:val="0"/>
          <w:szCs w:val="21"/>
        </w:rPr>
        <w:t>雅和阿兹特克文明都有文字，印加文明没有文字但有一种极其复杂的被称为</w:t>
      </w:r>
      <w:r w:rsidRPr="00FB1663">
        <w:rPr>
          <w:rFonts w:ascii="simsun" w:eastAsia="宋体" w:hAnsi="simsun" w:cs="宋体"/>
          <w:color w:val="2B2B2B"/>
          <w:kern w:val="0"/>
          <w:szCs w:val="21"/>
        </w:rPr>
        <w:t>“</w:t>
      </w:r>
      <w:r w:rsidRPr="00FB1663">
        <w:rPr>
          <w:rFonts w:ascii="simsun" w:eastAsia="宋体" w:hAnsi="simsun" w:cs="宋体"/>
          <w:color w:val="2B2B2B"/>
          <w:kern w:val="0"/>
          <w:szCs w:val="21"/>
        </w:rPr>
        <w:t>基普</w:t>
      </w:r>
      <w:r w:rsidRPr="00FB1663">
        <w:rPr>
          <w:rFonts w:ascii="simsun" w:eastAsia="宋体" w:hAnsi="simsun" w:cs="宋体"/>
          <w:color w:val="2B2B2B"/>
          <w:kern w:val="0"/>
          <w:szCs w:val="21"/>
        </w:rPr>
        <w:t>”</w:t>
      </w:r>
      <w:r w:rsidRPr="00FB1663">
        <w:rPr>
          <w:rFonts w:ascii="simsun" w:eastAsia="宋体" w:hAnsi="simsun" w:cs="宋体"/>
          <w:color w:val="2B2B2B"/>
          <w:kern w:val="0"/>
          <w:szCs w:val="21"/>
        </w:rPr>
        <w:t>的结绳记事系统）、城市、水利工程以及大量的陶石玉金制品，一点也不比旧大陆早期古典文明逊色。</w:t>
      </w:r>
    </w:p>
    <w:p w:rsidR="00FB1663" w:rsidRPr="00FB1663" w:rsidRDefault="00FB1663" w:rsidP="00FB1663">
      <w:pPr>
        <w:widowControl/>
        <w:spacing w:before="100" w:beforeAutospacing="1" w:after="375" w:line="360" w:lineRule="atLeast"/>
        <w:ind w:firstLine="420"/>
        <w:jc w:val="left"/>
        <w:rPr>
          <w:rFonts w:ascii="simsun" w:eastAsia="宋体" w:hAnsi="simsun" w:cs="宋体"/>
          <w:color w:val="2B2B2B"/>
          <w:kern w:val="0"/>
          <w:szCs w:val="21"/>
        </w:rPr>
      </w:pPr>
      <w:r w:rsidRPr="00FB1663">
        <w:rPr>
          <w:rFonts w:ascii="simsun" w:eastAsia="宋体" w:hAnsi="simsun" w:cs="宋体"/>
          <w:color w:val="2B2B2B"/>
          <w:kern w:val="0"/>
          <w:szCs w:val="21"/>
        </w:rPr>
        <w:t>这些发现和认识也改变了我们对于文明形成及其特点的认识。西方经典理论概括的文明诸要素以及阶级、国家等文明形成理论，在各地的表现是不完全相同的。比如中国早期文明中就缺乏明显的僧侣阶层，而更强调家族和部族联盟对实物和意识形态资源的控制；美洲文明开始时并没有金属工具（公元前后才有了金银制品并极其辉煌）、大型交通运输工具和驯化的动物（除了安第斯高海拔地区的羊驼），但一样能够缔造文明及宏伟的城市、公共建筑，宗教与艺术也同样十分辉煌。</w:t>
      </w:r>
    </w:p>
    <w:p w:rsidR="00FB1663" w:rsidRPr="00FB1663" w:rsidRDefault="00FB1663" w:rsidP="00FB1663">
      <w:pPr>
        <w:widowControl/>
        <w:spacing w:before="100" w:beforeAutospacing="1" w:after="375" w:line="360" w:lineRule="atLeast"/>
        <w:ind w:firstLine="420"/>
        <w:jc w:val="left"/>
        <w:rPr>
          <w:rFonts w:ascii="simsun" w:eastAsia="宋体" w:hAnsi="simsun" w:cs="宋体"/>
          <w:color w:val="2B2B2B"/>
          <w:kern w:val="0"/>
          <w:szCs w:val="21"/>
        </w:rPr>
      </w:pPr>
      <w:r w:rsidRPr="00FB1663">
        <w:rPr>
          <w:rFonts w:ascii="simsun" w:eastAsia="宋体" w:hAnsi="simsun" w:cs="宋体"/>
          <w:color w:val="2B2B2B"/>
          <w:kern w:val="0"/>
          <w:szCs w:val="21"/>
        </w:rPr>
        <w:t>尤其是旧大陆早期文明毫无例外都是大河流域的河谷文明，尽管奠定农业社会基础的动植物驯化未必发生在河谷地带，并仅有为数不多的几个早期中心（中国文明即独占粟</w:t>
      </w:r>
      <w:r w:rsidRPr="00FB1663">
        <w:rPr>
          <w:rFonts w:ascii="simsun" w:eastAsia="宋体" w:hAnsi="simsun" w:cs="宋体"/>
          <w:color w:val="2B2B2B"/>
          <w:kern w:val="0"/>
          <w:szCs w:val="21"/>
        </w:rPr>
        <w:t>—</w:t>
      </w:r>
      <w:proofErr w:type="gramStart"/>
      <w:r w:rsidRPr="00FB1663">
        <w:rPr>
          <w:rFonts w:ascii="simsun" w:eastAsia="宋体" w:hAnsi="simsun" w:cs="宋体"/>
          <w:color w:val="2B2B2B"/>
          <w:kern w:val="0"/>
          <w:szCs w:val="21"/>
        </w:rPr>
        <w:t>黍</w:t>
      </w:r>
      <w:proofErr w:type="gramEnd"/>
      <w:r w:rsidRPr="00FB1663">
        <w:rPr>
          <w:rFonts w:ascii="simsun" w:eastAsia="宋体" w:hAnsi="simsun" w:cs="宋体"/>
          <w:color w:val="2B2B2B"/>
          <w:kern w:val="0"/>
          <w:szCs w:val="21"/>
        </w:rPr>
        <w:t>和稻作两个农业起源中心），但复杂社会和文明均兴盛于河谷，尤其是中温带地区的大河，如中东地区的两河、埃及的尼罗河、印巴的印度河、中国的黄河与长江等，因为这些地方能支撑农业的持续发展，聚集文明社会所需要的大量人口。美洲早期文明则并非如此。中美的高地和低地从海岸到山丘并且林木茂盛，南美的安第斯山区是世界罕见的山地高原，两者均是与大河流域完全不同的地理环境，但它们在这样的环境下探索和建立起包括灌溉在内的复杂农作系统，驯化包括玉米、大量的豆类、土豆等地下块茎类作物；相反，北美的密西西比河和南美的亚马逊河这类壮阔的大河地带，文化却相对滞后。因此，可以说新大陆的情况提出了一种新的文明形成与演变模式。</w:t>
      </w:r>
    </w:p>
    <w:p w:rsidR="00FB1663" w:rsidRDefault="00FB1663" w:rsidP="00FB1663">
      <w:pPr>
        <w:widowControl/>
        <w:spacing w:before="100" w:beforeAutospacing="1" w:after="375" w:line="360" w:lineRule="atLeast"/>
        <w:ind w:firstLine="420"/>
        <w:jc w:val="left"/>
        <w:rPr>
          <w:rFonts w:ascii="simsun" w:eastAsia="宋体" w:hAnsi="simsun" w:cs="宋体" w:hint="eastAsia"/>
          <w:color w:val="2B2B2B"/>
          <w:kern w:val="0"/>
          <w:szCs w:val="21"/>
        </w:rPr>
      </w:pPr>
      <w:r w:rsidRPr="00FB1663">
        <w:rPr>
          <w:rFonts w:ascii="simsun" w:eastAsia="宋体" w:hAnsi="simsun" w:cs="宋体"/>
          <w:color w:val="2B2B2B"/>
          <w:kern w:val="0"/>
          <w:szCs w:val="21"/>
        </w:rPr>
        <w:lastRenderedPageBreak/>
        <w:t>新大陆的文明对整个人类文明的贡献也是巨大的。新大陆的发现以及它提供的超过</w:t>
      </w:r>
      <w:r w:rsidRPr="00FB1663">
        <w:rPr>
          <w:rFonts w:ascii="simsun" w:eastAsia="宋体" w:hAnsi="simsun" w:cs="宋体"/>
          <w:color w:val="2B2B2B"/>
          <w:kern w:val="0"/>
          <w:szCs w:val="21"/>
        </w:rPr>
        <w:t>50%</w:t>
      </w:r>
      <w:r w:rsidRPr="00FB1663">
        <w:rPr>
          <w:rFonts w:ascii="simsun" w:eastAsia="宋体" w:hAnsi="simsun" w:cs="宋体"/>
          <w:color w:val="2B2B2B"/>
          <w:kern w:val="0"/>
          <w:szCs w:val="21"/>
        </w:rPr>
        <w:t>以上的全人类的驯化农作物品种，为旧大陆的可持续发展提供了新的动力，不仅使得人口得以大规模增长，也为欧洲的工业革命提供了原始积累。中国，在与新大陆文明未有直接接触之时，明代就间接地开始大规模引进红薯、玉米、辣椒等重要农作物，并为明代以后的人口爆炸式增长提供了食物资源的支撑。</w:t>
      </w:r>
    </w:p>
    <w:p w:rsidR="00FB1663" w:rsidRPr="00FB1663" w:rsidRDefault="00FB1663" w:rsidP="00FB1663">
      <w:pPr>
        <w:widowControl/>
        <w:spacing w:before="100" w:beforeAutospacing="1" w:after="375" w:line="360" w:lineRule="atLeast"/>
        <w:ind w:firstLine="420"/>
        <w:jc w:val="left"/>
        <w:rPr>
          <w:rFonts w:ascii="simsun" w:eastAsia="宋体" w:hAnsi="simsun" w:cs="宋体"/>
          <w:color w:val="2B2B2B"/>
          <w:kern w:val="0"/>
          <w:szCs w:val="21"/>
        </w:rPr>
      </w:pPr>
      <w:r w:rsidRPr="00FB1663">
        <w:rPr>
          <w:rFonts w:ascii="simsun" w:eastAsia="宋体" w:hAnsi="simsun" w:cs="宋体" w:hint="eastAsia"/>
          <w:color w:val="2B2B2B"/>
          <w:kern w:val="0"/>
          <w:szCs w:val="21"/>
        </w:rPr>
        <w:t>当然，美洲文明形成之后，长期独立、封闭，缺乏文明之间的互动、互</w:t>
      </w:r>
      <w:proofErr w:type="gramStart"/>
      <w:r w:rsidRPr="00FB1663">
        <w:rPr>
          <w:rFonts w:ascii="simsun" w:eastAsia="宋体" w:hAnsi="simsun" w:cs="宋体" w:hint="eastAsia"/>
          <w:color w:val="2B2B2B"/>
          <w:kern w:val="0"/>
          <w:szCs w:val="21"/>
        </w:rPr>
        <w:t>砺</w:t>
      </w:r>
      <w:proofErr w:type="gramEnd"/>
      <w:r w:rsidRPr="00FB1663">
        <w:rPr>
          <w:rFonts w:ascii="simsun" w:eastAsia="宋体" w:hAnsi="simsun" w:cs="宋体" w:hint="eastAsia"/>
          <w:color w:val="2B2B2B"/>
          <w:kern w:val="0"/>
          <w:szCs w:val="21"/>
        </w:rPr>
        <w:t>，甚至中美和南美文明之间也缺乏交流，因此，基本上停留在古典文明的阶段，而旧大陆诸文明，比如中国文明长期经受游牧文化的挑战并在应答过程中不断调整和完善，秦汉之后即走出古典阶段；两河、埃及等古文明则不仅同样在与外族、游牧等文化的互动中逐步改进和完善，而且较早就形成了更大的相互作用圈，吸收商业以及不同宗教等异文化要素，融会出地中海文明，并经过近代的宗教和科技革命，孕育出近现代独领风骚的西方文明。</w:t>
      </w:r>
    </w:p>
    <w:p w:rsidR="00FB1663" w:rsidRDefault="00FB1663" w:rsidP="00FB1663">
      <w:pPr>
        <w:widowControl/>
        <w:spacing w:before="100" w:beforeAutospacing="1" w:after="375" w:line="360" w:lineRule="atLeast"/>
        <w:ind w:firstLine="420"/>
        <w:jc w:val="left"/>
        <w:rPr>
          <w:rFonts w:ascii="simsun" w:eastAsia="宋体" w:hAnsi="simsun" w:cs="宋体" w:hint="eastAsia"/>
          <w:color w:val="2B2B2B"/>
          <w:kern w:val="0"/>
          <w:szCs w:val="21"/>
        </w:rPr>
      </w:pPr>
      <w:r w:rsidRPr="00FB1663">
        <w:rPr>
          <w:rFonts w:ascii="simsun" w:eastAsia="宋体" w:hAnsi="simsun" w:cs="宋体" w:hint="eastAsia"/>
          <w:color w:val="2B2B2B"/>
          <w:kern w:val="0"/>
          <w:szCs w:val="21"/>
        </w:rPr>
        <w:t>这部波澜壮阔的文明史启示我们，不仅要开展文明的比较研究以更加全面深入地认识文明及其特点，更要推动开展文明对话、文明</w:t>
      </w:r>
      <w:proofErr w:type="gramStart"/>
      <w:r w:rsidRPr="00FB1663">
        <w:rPr>
          <w:rFonts w:ascii="simsun" w:eastAsia="宋体" w:hAnsi="simsun" w:cs="宋体" w:hint="eastAsia"/>
          <w:color w:val="2B2B2B"/>
          <w:kern w:val="0"/>
          <w:szCs w:val="21"/>
        </w:rPr>
        <w:t>互鉴以及</w:t>
      </w:r>
      <w:proofErr w:type="gramEnd"/>
      <w:r w:rsidRPr="00FB1663">
        <w:rPr>
          <w:rFonts w:ascii="simsun" w:eastAsia="宋体" w:hAnsi="simsun" w:cs="宋体" w:hint="eastAsia"/>
          <w:color w:val="2B2B2B"/>
          <w:kern w:val="0"/>
          <w:szCs w:val="21"/>
        </w:rPr>
        <w:t>文化的交流、学习和借鉴，才能为人类文明的发展不断注入新的活力。</w:t>
      </w:r>
    </w:p>
    <w:p w:rsidR="00FB1663" w:rsidRPr="00FB1663" w:rsidRDefault="00FB1663" w:rsidP="00FB1663">
      <w:pPr>
        <w:widowControl/>
        <w:spacing w:before="100" w:beforeAutospacing="1" w:after="375" w:line="360" w:lineRule="atLeast"/>
        <w:ind w:firstLineChars="800" w:firstLine="1680"/>
        <w:jc w:val="left"/>
        <w:rPr>
          <w:rFonts w:ascii="simsun" w:eastAsia="宋体" w:hAnsi="simsun" w:cs="宋体" w:hint="eastAsia"/>
          <w:color w:val="2B2B2B"/>
          <w:kern w:val="0"/>
          <w:szCs w:val="21"/>
        </w:rPr>
      </w:pPr>
      <w:r w:rsidRPr="00FB1663">
        <w:rPr>
          <w:rFonts w:ascii="simsun" w:eastAsia="宋体" w:hAnsi="simsun" w:cs="宋体" w:hint="eastAsia"/>
          <w:color w:val="2B2B2B"/>
          <w:kern w:val="0"/>
          <w:szCs w:val="21"/>
        </w:rPr>
        <w:t>（作者为《中国文物报》总编辑）</w:t>
      </w:r>
      <w:r w:rsidRPr="00FB1663">
        <w:rPr>
          <w:rFonts w:ascii="simsun" w:eastAsia="宋体" w:hAnsi="simsun" w:cs="宋体" w:hint="eastAsia"/>
          <w:color w:val="2B2B2B"/>
          <w:kern w:val="0"/>
          <w:szCs w:val="21"/>
        </w:rPr>
        <w:t xml:space="preserve"> </w:t>
      </w:r>
    </w:p>
    <w:p w:rsidR="00FB1663" w:rsidRDefault="00FB1663" w:rsidP="00FB1663">
      <w:pPr>
        <w:widowControl/>
        <w:spacing w:before="100" w:beforeAutospacing="1" w:after="375" w:line="360" w:lineRule="atLeast"/>
        <w:ind w:firstLine="420"/>
        <w:jc w:val="left"/>
        <w:rPr>
          <w:rFonts w:ascii="simsun" w:eastAsia="宋体" w:hAnsi="simsun" w:cs="宋体" w:hint="eastAsia"/>
          <w:color w:val="2B2B2B"/>
          <w:kern w:val="0"/>
          <w:szCs w:val="21"/>
        </w:rPr>
      </w:pPr>
    </w:p>
    <w:p w:rsidR="00FB1663" w:rsidRPr="00FB1663" w:rsidRDefault="00FB1663" w:rsidP="00FB1663">
      <w:pPr>
        <w:widowControl/>
        <w:spacing w:before="100" w:beforeAutospacing="1" w:after="375" w:line="360" w:lineRule="atLeast"/>
        <w:ind w:firstLine="420"/>
        <w:jc w:val="left"/>
        <w:rPr>
          <w:rFonts w:ascii="simsun" w:eastAsia="宋体" w:hAnsi="simsun" w:cs="宋体"/>
          <w:color w:val="2B2B2B"/>
          <w:kern w:val="0"/>
          <w:szCs w:val="21"/>
        </w:rPr>
      </w:pPr>
    </w:p>
    <w:tbl>
      <w:tblPr>
        <w:tblW w:w="0" w:type="auto"/>
        <w:jc w:val="center"/>
        <w:tblCellMar>
          <w:left w:w="0" w:type="dxa"/>
          <w:right w:w="0" w:type="dxa"/>
        </w:tblCellMar>
        <w:tblLook w:val="04A0" w:firstRow="1" w:lastRow="0" w:firstColumn="1" w:lastColumn="0" w:noHBand="0" w:noVBand="1"/>
      </w:tblPr>
      <w:tblGrid>
        <w:gridCol w:w="6"/>
        <w:gridCol w:w="6"/>
      </w:tblGrid>
      <w:tr w:rsidR="00FB1663" w:rsidRPr="00FB1663" w:rsidTr="00FB1663">
        <w:trPr>
          <w:jc w:val="center"/>
        </w:trPr>
        <w:tc>
          <w:tcPr>
            <w:tcW w:w="0" w:type="auto"/>
            <w:vAlign w:val="center"/>
          </w:tcPr>
          <w:p w:rsidR="00FB1663" w:rsidRPr="00FB1663" w:rsidRDefault="00FB1663" w:rsidP="00FB1663">
            <w:pPr>
              <w:widowControl/>
              <w:jc w:val="left"/>
              <w:rPr>
                <w:rFonts w:ascii="simsun" w:eastAsia="宋体" w:hAnsi="simsun" w:cs="宋体"/>
                <w:color w:val="2B2B2B"/>
                <w:kern w:val="0"/>
                <w:sz w:val="18"/>
                <w:szCs w:val="18"/>
              </w:rPr>
            </w:pPr>
          </w:p>
        </w:tc>
        <w:tc>
          <w:tcPr>
            <w:tcW w:w="0" w:type="auto"/>
            <w:vAlign w:val="center"/>
          </w:tcPr>
          <w:p w:rsidR="00FB1663" w:rsidRPr="00FB1663" w:rsidRDefault="00FB1663" w:rsidP="00FB1663">
            <w:pPr>
              <w:widowControl/>
              <w:jc w:val="left"/>
              <w:rPr>
                <w:rFonts w:ascii="simsun" w:eastAsia="宋体" w:hAnsi="simsun" w:cs="宋体"/>
                <w:color w:val="2B2B2B"/>
                <w:kern w:val="0"/>
                <w:sz w:val="18"/>
                <w:szCs w:val="18"/>
              </w:rPr>
            </w:pPr>
          </w:p>
        </w:tc>
      </w:tr>
    </w:tbl>
    <w:p w:rsidR="00555D9B" w:rsidRDefault="00555D9B">
      <w:pPr>
        <w:rPr>
          <w:rFonts w:hint="eastAsia"/>
        </w:rPr>
      </w:pPr>
    </w:p>
    <w:sectPr w:rsidR="00555D9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simsun">
    <w:altName w:val="Times New Roman"/>
    <w:panose1 w:val="00000000000000000000"/>
    <w:charset w:val="00"/>
    <w:family w:val="roman"/>
    <w:notTrueType/>
    <w:pitch w:val="default"/>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1663"/>
    <w:rsid w:val="00555D9B"/>
    <w:rsid w:val="00FB16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FB1663"/>
    <w:rPr>
      <w:sz w:val="18"/>
      <w:szCs w:val="18"/>
    </w:rPr>
  </w:style>
  <w:style w:type="character" w:customStyle="1" w:styleId="Char">
    <w:name w:val="批注框文本 Char"/>
    <w:basedOn w:val="a0"/>
    <w:link w:val="a3"/>
    <w:uiPriority w:val="99"/>
    <w:semiHidden/>
    <w:rsid w:val="00FB1663"/>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FB1663"/>
    <w:rPr>
      <w:sz w:val="18"/>
      <w:szCs w:val="18"/>
    </w:rPr>
  </w:style>
  <w:style w:type="character" w:customStyle="1" w:styleId="Char">
    <w:name w:val="批注框文本 Char"/>
    <w:basedOn w:val="a0"/>
    <w:link w:val="a3"/>
    <w:uiPriority w:val="99"/>
    <w:semiHidden/>
    <w:rsid w:val="00FB1663"/>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2565437">
      <w:bodyDiv w:val="1"/>
      <w:marLeft w:val="0"/>
      <w:marRight w:val="0"/>
      <w:marTop w:val="0"/>
      <w:marBottom w:val="0"/>
      <w:divBdr>
        <w:top w:val="none" w:sz="0" w:space="0" w:color="auto"/>
        <w:left w:val="none" w:sz="0" w:space="0" w:color="auto"/>
        <w:bottom w:val="none" w:sz="0" w:space="0" w:color="auto"/>
        <w:right w:val="none" w:sz="0" w:space="0" w:color="auto"/>
      </w:divBdr>
      <w:divsChild>
        <w:div w:id="1830291165">
          <w:marLeft w:val="0"/>
          <w:marRight w:val="0"/>
          <w:marTop w:val="0"/>
          <w:marBottom w:val="0"/>
          <w:divBdr>
            <w:top w:val="none" w:sz="0" w:space="0" w:color="auto"/>
            <w:left w:val="none" w:sz="0" w:space="0" w:color="auto"/>
            <w:bottom w:val="none" w:sz="0" w:space="0" w:color="auto"/>
            <w:right w:val="none" w:sz="0" w:space="0" w:color="auto"/>
          </w:divBdr>
          <w:divsChild>
            <w:div w:id="1330596295">
              <w:marLeft w:val="0"/>
              <w:marRight w:val="0"/>
              <w:marTop w:val="0"/>
              <w:marBottom w:val="0"/>
              <w:divBdr>
                <w:top w:val="none" w:sz="0" w:space="0" w:color="auto"/>
                <w:left w:val="none" w:sz="0" w:space="0" w:color="auto"/>
                <w:bottom w:val="none" w:sz="0" w:space="0" w:color="auto"/>
                <w:right w:val="none" w:sz="0" w:space="0" w:color="auto"/>
              </w:divBdr>
              <w:divsChild>
                <w:div w:id="1563102554">
                  <w:marLeft w:val="0"/>
                  <w:marRight w:val="0"/>
                  <w:marTop w:val="0"/>
                  <w:marBottom w:val="0"/>
                  <w:divBdr>
                    <w:top w:val="none" w:sz="0" w:space="0" w:color="auto"/>
                    <w:left w:val="none" w:sz="0" w:space="0" w:color="auto"/>
                    <w:bottom w:val="none" w:sz="0" w:space="0" w:color="auto"/>
                    <w:right w:val="none" w:sz="0" w:space="0" w:color="auto"/>
                  </w:divBdr>
                  <w:divsChild>
                    <w:div w:id="1638679027">
                      <w:marLeft w:val="0"/>
                      <w:marRight w:val="0"/>
                      <w:marTop w:val="0"/>
                      <w:marBottom w:val="0"/>
                      <w:divBdr>
                        <w:top w:val="none" w:sz="0" w:space="0" w:color="auto"/>
                        <w:left w:val="none" w:sz="0" w:space="0" w:color="auto"/>
                        <w:bottom w:val="none" w:sz="0" w:space="0" w:color="auto"/>
                        <w:right w:val="none" w:sz="0" w:space="0" w:color="auto"/>
                      </w:divBdr>
                      <w:divsChild>
                        <w:div w:id="1383402115">
                          <w:marLeft w:val="0"/>
                          <w:marRight w:val="0"/>
                          <w:marTop w:val="0"/>
                          <w:marBottom w:val="0"/>
                          <w:divBdr>
                            <w:top w:val="none" w:sz="0" w:space="0" w:color="auto"/>
                            <w:left w:val="none" w:sz="0" w:space="0" w:color="auto"/>
                            <w:bottom w:val="none" w:sz="0" w:space="0" w:color="auto"/>
                            <w:right w:val="none" w:sz="0" w:space="0" w:color="auto"/>
                          </w:divBdr>
                          <w:divsChild>
                            <w:div w:id="1378821612">
                              <w:marLeft w:val="0"/>
                              <w:marRight w:val="0"/>
                              <w:marTop w:val="0"/>
                              <w:marBottom w:val="0"/>
                              <w:divBdr>
                                <w:top w:val="none" w:sz="0" w:space="0" w:color="auto"/>
                                <w:left w:val="none" w:sz="0" w:space="0" w:color="auto"/>
                                <w:bottom w:val="none" w:sz="0" w:space="0" w:color="auto"/>
                                <w:right w:val="none" w:sz="0" w:space="0" w:color="auto"/>
                              </w:divBdr>
                              <w:divsChild>
                                <w:div w:id="1391608815">
                                  <w:marLeft w:val="0"/>
                                  <w:marRight w:val="0"/>
                                  <w:marTop w:val="0"/>
                                  <w:marBottom w:val="0"/>
                                  <w:divBdr>
                                    <w:top w:val="none" w:sz="0" w:space="0" w:color="auto"/>
                                    <w:left w:val="none" w:sz="0" w:space="0" w:color="auto"/>
                                    <w:bottom w:val="none" w:sz="0" w:space="0" w:color="auto"/>
                                    <w:right w:val="none" w:sz="0" w:space="0" w:color="auto"/>
                                  </w:divBdr>
                                  <w:divsChild>
                                    <w:div w:id="1162115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8435631">
                      <w:marLeft w:val="0"/>
                      <w:marRight w:val="0"/>
                      <w:marTop w:val="0"/>
                      <w:marBottom w:val="0"/>
                      <w:divBdr>
                        <w:top w:val="none" w:sz="0" w:space="0" w:color="auto"/>
                        <w:left w:val="none" w:sz="0" w:space="0" w:color="auto"/>
                        <w:bottom w:val="none" w:sz="0" w:space="0" w:color="auto"/>
                        <w:right w:val="none" w:sz="0" w:space="0" w:color="auto"/>
                      </w:divBdr>
                    </w:div>
                    <w:div w:id="1184594501">
                      <w:marLeft w:val="0"/>
                      <w:marRight w:val="0"/>
                      <w:marTop w:val="0"/>
                      <w:marBottom w:val="0"/>
                      <w:divBdr>
                        <w:top w:val="none" w:sz="0" w:space="0" w:color="auto"/>
                        <w:left w:val="none" w:sz="0" w:space="0" w:color="auto"/>
                        <w:bottom w:val="none" w:sz="0" w:space="0" w:color="auto"/>
                        <w:right w:val="none" w:sz="0" w:space="0" w:color="auto"/>
                      </w:divBdr>
                    </w:div>
                    <w:div w:id="1172186951">
                      <w:marLeft w:val="0"/>
                      <w:marRight w:val="0"/>
                      <w:marTop w:val="0"/>
                      <w:marBottom w:val="0"/>
                      <w:divBdr>
                        <w:top w:val="none" w:sz="0" w:space="0" w:color="auto"/>
                        <w:left w:val="none" w:sz="0" w:space="0" w:color="auto"/>
                        <w:bottom w:val="none" w:sz="0" w:space="0" w:color="auto"/>
                        <w:right w:val="none" w:sz="0" w:space="0" w:color="auto"/>
                      </w:divBdr>
                      <w:divsChild>
                        <w:div w:id="2102681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hyperlink" Target="http://epaper.gmw.cn/gmrb/html/2015-06/03/nw.D110000gmrb_20150603_1-10.htm?div=-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5</Pages>
  <Words>533</Words>
  <Characters>3044</Characters>
  <Application>Microsoft Office Word</Application>
  <DocSecurity>0</DocSecurity>
  <Lines>25</Lines>
  <Paragraphs>7</Paragraphs>
  <ScaleCrop>false</ScaleCrop>
  <Company>微软中国</Company>
  <LinksUpToDate>false</LinksUpToDate>
  <CharactersWithSpaces>3570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1</cp:revision>
  <dcterms:created xsi:type="dcterms:W3CDTF">2015-06-16T01:04:00Z</dcterms:created>
  <dcterms:modified xsi:type="dcterms:W3CDTF">2015-06-16T01:10:00Z</dcterms:modified>
</cp:coreProperties>
</file>