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 xml:space="preserve">           </w:t>
      </w:r>
      <w:r>
        <w:rPr>
          <w:rFonts w:hint="eastAsia"/>
          <w:sz w:val="32"/>
          <w:szCs w:val="32"/>
          <w:lang w:val="en-US" w:eastAsia="zh-CN"/>
        </w:rPr>
        <w:t>回归经典，重读《史记》有感</w:t>
      </w:r>
      <w:bookmarkStart w:id="0" w:name="_GoBack"/>
      <w:bookmarkEnd w:id="0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/>
        <w:jc w:val="both"/>
        <w:textAlignment w:val="auto"/>
        <w:outlineLvl w:val="9"/>
        <w:rPr>
          <w:rFonts w:hint="eastAsia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left="0" w:leftChars="0" w:right="0" w:rightChars="0" w:firstLine="0"/>
        <w:jc w:val="both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   前一段时间，因为教学中遇到几个先秦人物的问题，动了重读史记的念头。说起来惭愧，除了在大学里读过一遍《史记》，工作后再也没有通读过了。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left="0" w:leftChars="0" w:right="0" w:rightChars="0" w:firstLine="480"/>
        <w:jc w:val="both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《史记》是一部什么样的书？大家都知道，它是一部史书，而且是史部第一，就像希罗多德之于希腊，我们也是把司马迁当“史学之父”。但此书之意义，我理解，却并不在于它是开了纪传体的头。相反，它的意义在哪儿？我看，倒是在于它不是一部以朝代为断限，干巴巴罗列帝王将相，孳孳于一姓兴亡的狭义史书，像晚于它又模仿它的其他二十多部现在称为“正史”的书。我欣赏它，是因为它视野开阔，胸襟博大，早于它的事，它做了总结；晚于它的事，它开了头。它是一部上起轩辕，下迄孝武，“究天人之际，穷古今之变”的“大历史”。当时的“古代史”、“近代史”和“当代史”，它都讲到了。特别是他叙事生动，笔端熔铸感情，让人读着不枯燥，而且越想越有意思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left="0" w:leftChars="0" w:right="0" w:rightChars="0" w:firstLine="0"/>
        <w:jc w:val="both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　《史记》这部书伟大，它的作者更伟大。我们“读其书而想见其为人”，一定要读他的《太史公自序》和《报任安书》。《太史公自序》当然很重要，因为只有读这篇东西，你才能了解他的学术背景和创作过程，知道他有家学渊源、名师传授，“读万卷书，行万里路”，人生老道，所以文笔也老道。但我们千万不要忽略，他还有一封《报任安书》。如果我们说《太史公自序》是司马迁的“学术史”，那么《报任安书》就是他的“心灵史”。为什么呢？因为这是一篇“欲死不能”之人同“行将就死”之人的心灵对话，每句话都掏心窝子，里面浸透着生之热恋和死之痛苦。其辗转于生死之际的羞辱、恐惧和悲愤，五内俱焚、汗发沾背的心理创伤，非身临其境者，绝难体会。小时候读《古文观止》，我总以为这是最震撼人心、催人泪下的一篇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left="0" w:leftChars="0" w:right="0" w:rightChars="0" w:firstLine="0"/>
        <w:jc w:val="both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　　　以个人荣辱看历史，固然易生偏见，但司马迁讲历史，却能保持清醒客观，即使是写当代之事，即使是有切肤之痛，也能控制情绪，顶多在赞语中发点感慨，出乎人生，而入乎历史，写史和评史，绝不乱掺乎。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left="0" w:leftChars="0" w:right="0" w:rightChars="0" w:firstLine="0"/>
        <w:jc w:val="both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　　对司马迁的赞语和文学性描写，我很欣赏。因为恰好是在这样的话语之中，我们才能窥见其个性，进而理解他的传神之笔。例如，在他笔下，即使是“成者为王”的汉高祖也大有流氓气，即使是“败者为贼”的项羽也不失英雄相。就连当时的恐怖分子，他也会说“不欺其志，名垂后世”；就连李斯这样的“大坏蛋”，他也会描写其临死之际，父子相哭，遥想当年，牵黄犬，逐狡兔的天伦之乐。很多“大人物”写得就像“小人物”一样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left="0" w:leftChars="0" w:right="0" w:rightChars="0" w:firstLine="0"/>
        <w:jc w:val="both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　　同司马迁的“发愤著书”有关，《李将军传》也值得一读（有趣的是，它是放在《匈奴传》和《卫将军传》的前边）。他讲李陵之祸，着墨不多，对比《汉书》，好像一笔带过。这种省略是出于“不敢言”还是“不忍言”，我们很难猜测。但他在赞语中说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left="0" w:leftChars="0" w:right="0" w:rightChars="0" w:firstLine="0"/>
        <w:jc w:val="both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　　传曰“其身正，不令而行；其身不正，虽令不从”，其李将军之谓也？余睹李将军，悛悛如鄙人，口不能道辞。及死之日，天下知与不知，皆为尽哀。彼其忠实心诚信于士大夫也？谚曰“桃李不言，下自成蹊”。此言虽小，可以谕大也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left="0" w:leftChars="0" w:right="0" w:rightChars="0" w:firstLine="0"/>
        <w:jc w:val="both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　　司马迁说的“李将军”是李广而不是李陵，然陵为广孙，有其家风，就连命运的悲惨都一模一样。读者若拿这段话去对比一下苏建评卫青的话，所谓“大将军至尊重，而天下之贤大夫毋称焉”（《卫将军传》赞引），他的“无言”不是更胜于“有言”吗？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left="0" w:leftChars="0" w:right="0" w:rightChars="0" w:firstLine="0"/>
        <w:jc w:val="both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　　汉代以后，“卫将军”只见称于记录汉代武功的史乘，而无闻于民间。相反，李将军却借诗文的传诵而大出其名。1997年，中国历史博物馆举办全国考古新发现精品展，其中有块敦煌市博物馆送展的西晋壁画砖（图一），上面有个骑马的人物，正在回头射箭，上有榜题为证，不是别人，正是李广其人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left="0" w:leftChars="0" w:right="0" w:rightChars="0" w:firstLine="0"/>
        <w:jc w:val="both"/>
        <w:textAlignment w:val="auto"/>
        <w:outlineLvl w:val="9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　　看见“李将军”，我就想到了司马迁，想到了史学中的文学力量。</w:t>
      </w:r>
    </w:p>
    <w:p>
      <w:pPr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ABCDEE+宋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ABCDEE+@宋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CB07B7A"/>
    <w:rsid w:val="4B21177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Hyperlink"/>
    <w:basedOn w:val="3"/>
    <w:uiPriority w:val="0"/>
    <w:rPr>
      <w:color w:val="0000FF"/>
      <w:u w:val="single"/>
    </w:rPr>
  </w:style>
  <w:style w:type="character" w:styleId="5">
    <w:name w:val="footnote reference"/>
    <w:basedOn w:val="3"/>
    <w:uiPriority w:val="0"/>
    <w:rPr>
      <w:rFonts w:ascii="Times New Roman" w:hAnsi="Times New Roman" w:eastAsia="宋体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zhaoxinlei</dc:creator>
  <cp:lastModifiedBy>沈</cp:lastModifiedBy>
  <dcterms:modified xsi:type="dcterms:W3CDTF">2017-01-14T08:32:23Z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