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40A" w:rsidRPr="000A7B17" w:rsidRDefault="0037740A" w:rsidP="0037740A">
      <w:pPr>
        <w:pStyle w:val="a3"/>
        <w:shd w:val="clear" w:color="auto" w:fill="FFFFFF"/>
        <w:spacing w:line="270" w:lineRule="atLeast"/>
        <w:rPr>
          <w:rFonts w:ascii="ˎ̥" w:hAnsi="ˎ̥"/>
          <w:b/>
          <w:color w:val="222222"/>
          <w:sz w:val="36"/>
          <w:szCs w:val="36"/>
        </w:rPr>
      </w:pPr>
      <w:bookmarkStart w:id="0" w:name="_GoBack"/>
      <w:r w:rsidRPr="000A7B17">
        <w:rPr>
          <w:rFonts w:ascii="ˎ̥" w:hAnsi="ˎ̥"/>
          <w:b/>
          <w:color w:val="222222"/>
          <w:sz w:val="36"/>
          <w:szCs w:val="36"/>
        </w:rPr>
        <w:t>读家书，立家风</w:t>
      </w:r>
      <w:r w:rsidRPr="000A7B17">
        <w:rPr>
          <w:rFonts w:ascii="ˎ̥" w:hAnsi="ˎ̥"/>
          <w:b/>
          <w:color w:val="222222"/>
          <w:sz w:val="36"/>
          <w:szCs w:val="36"/>
        </w:rPr>
        <w:t>-----</w:t>
      </w:r>
      <w:r>
        <w:rPr>
          <w:rFonts w:ascii="ˎ̥" w:hAnsi="ˎ̥"/>
          <w:b/>
          <w:color w:val="222222"/>
          <w:sz w:val="36"/>
          <w:szCs w:val="36"/>
        </w:rPr>
        <w:t>读《曾国藩家书》</w:t>
      </w:r>
      <w:r>
        <w:rPr>
          <w:rFonts w:ascii="ˎ̥" w:hAnsi="ˎ̥" w:hint="eastAsia"/>
          <w:b/>
          <w:color w:val="222222"/>
          <w:sz w:val="36"/>
          <w:szCs w:val="36"/>
        </w:rPr>
        <w:t>有感之一</w:t>
      </w:r>
    </w:p>
    <w:bookmarkEnd w:id="0"/>
    <w:p w:rsidR="0037740A" w:rsidRPr="00800FF4" w:rsidRDefault="0037740A" w:rsidP="0037740A">
      <w:pPr>
        <w:pStyle w:val="a3"/>
        <w:shd w:val="clear" w:color="auto" w:fill="FFFFFF"/>
        <w:spacing w:line="270" w:lineRule="atLeast"/>
        <w:rPr>
          <w:rFonts w:ascii="仿宋" w:eastAsia="仿宋" w:hAnsi="仿宋"/>
          <w:color w:val="222222"/>
        </w:rPr>
      </w:pPr>
      <w:r>
        <w:rPr>
          <w:rFonts w:ascii="ˎ̥" w:hAnsi="ˎ̥"/>
          <w:color w:val="222222"/>
          <w:sz w:val="21"/>
          <w:szCs w:val="21"/>
        </w:rPr>
        <w:t xml:space="preserve">　　　</w:t>
      </w:r>
      <w:r w:rsidRPr="00800FF4">
        <w:rPr>
          <w:rFonts w:ascii="仿宋" w:eastAsia="仿宋" w:hAnsi="仿宋"/>
          <w:color w:val="222222"/>
        </w:rPr>
        <w:t xml:space="preserve">　中国有句俗语说“一代就能闯出个富人，三代才能培养出贵族”，足以看出家风的“润物细无声”的作用。这方面的典范榜样，曾国藩当独树一帜。他曾被誉为“立德立功立言三不朽，为师为将为相</w:t>
      </w:r>
      <w:proofErr w:type="gramStart"/>
      <w:r w:rsidRPr="00800FF4">
        <w:rPr>
          <w:rFonts w:ascii="仿宋" w:eastAsia="仿宋" w:hAnsi="仿宋"/>
          <w:color w:val="222222"/>
        </w:rPr>
        <w:t>一</w:t>
      </w:r>
      <w:proofErr w:type="gramEnd"/>
      <w:r w:rsidRPr="00800FF4">
        <w:rPr>
          <w:rFonts w:ascii="仿宋" w:eastAsia="仿宋" w:hAnsi="仿宋"/>
          <w:color w:val="222222"/>
        </w:rPr>
        <w:t>完人”。曾家的家风是什么？读一读《曾国藩家书》，你也许会对他的家风略见一斑。本书收录了曾国藩200余篇写给（祖）父母、诸弟和子侄的书信，资料涉及到修身、治学、治家、理财、交友、待人、为官和养生八个方面。能够为广大读者修缮自己家风带给珍贵的参考，据说毛泽东和蒋介石都受其影响很深。</w:t>
      </w:r>
    </w:p>
    <w:p w:rsidR="0037740A" w:rsidRPr="00800FF4" w:rsidRDefault="0037740A" w:rsidP="0037740A">
      <w:pPr>
        <w:pStyle w:val="a3"/>
        <w:shd w:val="clear" w:color="auto" w:fill="FFFFFF"/>
        <w:spacing w:line="270" w:lineRule="atLeast"/>
        <w:rPr>
          <w:rFonts w:ascii="仿宋" w:eastAsia="仿宋" w:hAnsi="仿宋"/>
          <w:color w:val="222222"/>
        </w:rPr>
      </w:pPr>
      <w:r w:rsidRPr="00800FF4">
        <w:rPr>
          <w:rFonts w:ascii="仿宋" w:eastAsia="仿宋" w:hAnsi="仿宋"/>
          <w:color w:val="222222"/>
        </w:rPr>
        <w:t xml:space="preserve">　　修身</w:t>
      </w:r>
    </w:p>
    <w:p w:rsidR="0037740A" w:rsidRPr="00800FF4" w:rsidRDefault="0037740A" w:rsidP="0037740A">
      <w:pPr>
        <w:pStyle w:val="a3"/>
        <w:shd w:val="clear" w:color="auto" w:fill="FFFFFF"/>
        <w:spacing w:line="270" w:lineRule="atLeast"/>
        <w:rPr>
          <w:rFonts w:ascii="仿宋" w:eastAsia="仿宋" w:hAnsi="仿宋"/>
          <w:color w:val="222222"/>
        </w:rPr>
      </w:pPr>
      <w:r w:rsidRPr="00800FF4">
        <w:rPr>
          <w:rFonts w:ascii="仿宋" w:eastAsia="仿宋" w:hAnsi="仿宋"/>
          <w:color w:val="222222"/>
        </w:rPr>
        <w:t xml:space="preserve">　　曾国藩在家书中反复提到勤勉、谦恭、恒心、坚韧与自我反省。注重进德修业，戒除夜郎自大、恃才傲物与牢骚满腹。咸丰年间，九弟</w:t>
      </w:r>
      <w:proofErr w:type="gramStart"/>
      <w:r w:rsidRPr="00800FF4">
        <w:rPr>
          <w:rFonts w:ascii="仿宋" w:eastAsia="仿宋" w:hAnsi="仿宋"/>
          <w:color w:val="222222"/>
        </w:rPr>
        <w:t>沅甫</w:t>
      </w:r>
      <w:proofErr w:type="gramEnd"/>
      <w:r w:rsidRPr="00800FF4">
        <w:rPr>
          <w:rFonts w:ascii="仿宋" w:eastAsia="仿宋" w:hAnsi="仿宋"/>
          <w:color w:val="222222"/>
        </w:rPr>
        <w:t>曾在信中说到自己“意趣不在此，则兴会索然”，他在回信中告诫说“此却大不可。凡人做一事，便须全副精神注在此一事，首尾不懈。不可见异思迁，做这样想那样，坐这山望那山。”青年时代的毛泽东正是读了这一段金玉良言才更加坚定了自己的专心致志的治学原则。反观此刻的学术界，浮躁之气盛行，学术造假时有发生，师生皆不能专注于学问，直接影响到学术创新。学风的败坏，必然会导致世风的</w:t>
      </w:r>
      <w:proofErr w:type="gramStart"/>
      <w:r w:rsidRPr="00800FF4">
        <w:rPr>
          <w:rFonts w:ascii="仿宋" w:eastAsia="仿宋" w:hAnsi="仿宋"/>
          <w:color w:val="222222"/>
        </w:rPr>
        <w:t>的</w:t>
      </w:r>
      <w:proofErr w:type="gramEnd"/>
      <w:r w:rsidRPr="00800FF4">
        <w:rPr>
          <w:rFonts w:ascii="仿宋" w:eastAsia="仿宋" w:hAnsi="仿宋"/>
          <w:color w:val="222222"/>
        </w:rPr>
        <w:t>败坏，世风的败坏反过来又会影响到学风，这就应成为全社会关注的问题，正学风才能促世风。</w:t>
      </w:r>
    </w:p>
    <w:p w:rsidR="0037740A" w:rsidRPr="00800FF4" w:rsidRDefault="0037740A" w:rsidP="0037740A">
      <w:pPr>
        <w:pStyle w:val="a3"/>
        <w:shd w:val="clear" w:color="auto" w:fill="FFFFFF"/>
        <w:spacing w:line="270" w:lineRule="atLeast"/>
        <w:rPr>
          <w:rFonts w:ascii="仿宋" w:eastAsia="仿宋" w:hAnsi="仿宋"/>
          <w:color w:val="222222"/>
        </w:rPr>
      </w:pPr>
      <w:r w:rsidRPr="00800FF4">
        <w:rPr>
          <w:rFonts w:ascii="仿宋" w:eastAsia="仿宋" w:hAnsi="仿宋"/>
          <w:color w:val="222222"/>
        </w:rPr>
        <w:t xml:space="preserve">　　“和气致</w:t>
      </w:r>
      <w:proofErr w:type="gramStart"/>
      <w:r w:rsidRPr="00800FF4">
        <w:rPr>
          <w:rFonts w:ascii="仿宋" w:eastAsia="仿宋" w:hAnsi="仿宋"/>
          <w:color w:val="222222"/>
        </w:rPr>
        <w:t>祥</w:t>
      </w:r>
      <w:proofErr w:type="gramEnd"/>
      <w:r w:rsidRPr="00800FF4">
        <w:rPr>
          <w:rFonts w:ascii="仿宋" w:eastAsia="仿宋" w:hAnsi="仿宋"/>
          <w:color w:val="222222"/>
        </w:rPr>
        <w:t>，乖气致</w:t>
      </w:r>
      <w:proofErr w:type="gramStart"/>
      <w:r w:rsidRPr="00800FF4">
        <w:rPr>
          <w:rFonts w:ascii="仿宋" w:eastAsia="仿宋" w:hAnsi="仿宋"/>
          <w:color w:val="222222"/>
        </w:rPr>
        <w:t>戾</w:t>
      </w:r>
      <w:proofErr w:type="gramEnd"/>
      <w:r w:rsidRPr="00800FF4">
        <w:rPr>
          <w:rFonts w:ascii="仿宋" w:eastAsia="仿宋" w:hAnsi="仿宋"/>
          <w:color w:val="222222"/>
        </w:rPr>
        <w:t>”，君子之道莫大乎与人为善。“富家子弟多骄，贵家子弟多傲”，曾国藩多次在信中告诫诸弟要“平骄矜之气”“戒傲</w:t>
      </w:r>
      <w:proofErr w:type="gramStart"/>
      <w:r w:rsidRPr="00800FF4">
        <w:rPr>
          <w:rFonts w:ascii="仿宋" w:eastAsia="仿宋" w:hAnsi="仿宋"/>
          <w:color w:val="222222"/>
        </w:rPr>
        <w:t>惰</w:t>
      </w:r>
      <w:proofErr w:type="gramEnd"/>
      <w:r w:rsidRPr="00800FF4">
        <w:rPr>
          <w:rFonts w:ascii="仿宋" w:eastAsia="仿宋" w:hAnsi="仿宋"/>
          <w:color w:val="222222"/>
        </w:rPr>
        <w:t>二字”，“不宜非议讥笑他人”。</w:t>
      </w:r>
    </w:p>
    <w:p w:rsidR="0037740A" w:rsidRPr="00800FF4" w:rsidRDefault="0037740A" w:rsidP="0037740A">
      <w:pPr>
        <w:pStyle w:val="a3"/>
        <w:shd w:val="clear" w:color="auto" w:fill="FFFFFF"/>
        <w:spacing w:line="270" w:lineRule="atLeast"/>
        <w:rPr>
          <w:rFonts w:ascii="仿宋" w:eastAsia="仿宋" w:hAnsi="仿宋"/>
          <w:color w:val="222222"/>
        </w:rPr>
      </w:pPr>
      <w:r w:rsidRPr="00800FF4">
        <w:rPr>
          <w:rFonts w:ascii="仿宋" w:eastAsia="仿宋" w:hAnsi="仿宋"/>
          <w:color w:val="222222"/>
        </w:rPr>
        <w:t xml:space="preserve">　　做人当自强，而不是与人争强。曾国藩在致九弟的信中引经据典，历数从古至今一些强势人物的悲惨结局，告诫诸弟加强自身修养而不是与人争强斗狠。“古来如李斯、曹操、董卓、杨素者，其智力皆横绝一世，而其祸败亦</w:t>
      </w:r>
      <w:proofErr w:type="gramStart"/>
      <w:r w:rsidRPr="00800FF4">
        <w:rPr>
          <w:rFonts w:ascii="仿宋" w:eastAsia="仿宋" w:hAnsi="仿宋"/>
          <w:color w:val="222222"/>
        </w:rPr>
        <w:t>炯</w:t>
      </w:r>
      <w:proofErr w:type="gramEnd"/>
      <w:r w:rsidRPr="00800FF4">
        <w:rPr>
          <w:rFonts w:ascii="仿宋" w:eastAsia="仿宋" w:hAnsi="仿宋"/>
          <w:color w:val="222222"/>
        </w:rPr>
        <w:t>异寻常……。故吾辈在自修处求强则可，在胜人处求强则不可。”这倒让我想起由杨绛翻译的英国诗人兰德的诗歌里的一句“我和谁都不争，和谁争我都不屑”。不与人争，不是不求上进，而是一种豁达，一种隐忍，一种自我保护。“勿各逞己见”不是没有主见，而是一种“谦谨”与宽容。</w:t>
      </w:r>
    </w:p>
    <w:p w:rsidR="00AB2794" w:rsidRPr="0037740A" w:rsidRDefault="00AB2794"/>
    <w:sectPr w:rsidR="00AB2794" w:rsidRPr="0037740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40A"/>
    <w:rsid w:val="0037740A"/>
    <w:rsid w:val="00AB27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740A"/>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740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128</Words>
  <Characters>734</Characters>
  <Application>Microsoft Office Word</Application>
  <DocSecurity>0</DocSecurity>
  <Lines>6</Lines>
  <Paragraphs>1</Paragraphs>
  <ScaleCrop>false</ScaleCrop>
  <Company/>
  <LinksUpToDate>false</LinksUpToDate>
  <CharactersWithSpaces>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1</cp:revision>
  <dcterms:created xsi:type="dcterms:W3CDTF">2018-07-11T01:56:00Z</dcterms:created>
  <dcterms:modified xsi:type="dcterms:W3CDTF">2018-07-11T01:59:00Z</dcterms:modified>
</cp:coreProperties>
</file>