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document.xml" ContentType="application/vnd.openxmlformats-officedocument.wordprocessingml.document.main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广州市中小学体育与健康课时计划（篮球选修教案）</w:t>
      </w:r>
    </w:p>
    <w:tbl>
      <w:tblPr>
        <w:tblStyle w:val="3"/>
        <w:tblW w:w="8840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992"/>
        <w:gridCol w:w="1305"/>
        <w:gridCol w:w="708"/>
        <w:gridCol w:w="822"/>
        <w:gridCol w:w="29"/>
        <w:gridCol w:w="1433"/>
        <w:gridCol w:w="97"/>
        <w:gridCol w:w="454"/>
        <w:gridCol w:w="1106"/>
        <w:gridCol w:w="237"/>
        <w:gridCol w:w="188"/>
        <w:gridCol w:w="425"/>
        <w:gridCol w:w="3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学校</w:t>
            </w:r>
          </w:p>
        </w:tc>
        <w:tc>
          <w:tcPr>
            <w:tcW w:w="2297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中大附中</w:t>
            </w:r>
          </w:p>
        </w:tc>
        <w:tc>
          <w:tcPr>
            <w:tcW w:w="708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班级</w:t>
            </w:r>
          </w:p>
        </w:tc>
        <w:tc>
          <w:tcPr>
            <w:tcW w:w="851" w:type="dxa"/>
            <w:gridSpan w:val="2"/>
          </w:tcPr>
          <w:p>
            <w:pPr>
              <w:spacing w:line="360" w:lineRule="auto"/>
              <w:rPr>
                <w:rFonts w:hint="eastAsia" w:ascii="宋体" w:hAnsi="宋体" w:eastAsiaTheme="minorEastAsia"/>
                <w:sz w:val="21"/>
                <w:szCs w:val="21"/>
                <w:lang w:eastAsia="zh-CN"/>
              </w:rPr>
            </w:pPr>
            <w:r>
              <w:rPr>
                <w:rFonts w:ascii="宋体" w:hAnsi="宋体"/>
                <w:sz w:val="21"/>
                <w:szCs w:val="21"/>
              </w:rPr>
              <w:t>高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二</w:t>
            </w:r>
          </w:p>
        </w:tc>
        <w:tc>
          <w:tcPr>
            <w:tcW w:w="1433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单元课次</w:t>
            </w:r>
          </w:p>
        </w:tc>
        <w:tc>
          <w:tcPr>
            <w:tcW w:w="551" w:type="dxa"/>
            <w:gridSpan w:val="2"/>
          </w:tcPr>
          <w:p>
            <w:pPr>
              <w:spacing w:line="360" w:lineRule="auto"/>
              <w:rPr>
                <w:rFonts w:hint="eastAsia" w:ascii="宋体" w:hAnsi="宋体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343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学习目标</w:t>
            </w:r>
          </w:p>
        </w:tc>
        <w:tc>
          <w:tcPr>
            <w:tcW w:w="8130" w:type="dxa"/>
            <w:gridSpan w:val="13"/>
          </w:tcPr>
          <w:p>
            <w:pPr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sz w:val="21"/>
                <w:szCs w:val="21"/>
              </w:rPr>
              <w:t>运动技能</w:t>
            </w:r>
            <w:r>
              <w:rPr>
                <w:rFonts w:hint="eastAsia"/>
                <w:sz w:val="21"/>
                <w:szCs w:val="21"/>
              </w:rPr>
              <w:t>：巩固提高篮球的基本运、传、投技术动作，提高命中率</w:t>
            </w:r>
            <w:r>
              <w:rPr>
                <w:rFonts w:hint="eastAsia"/>
                <w:sz w:val="21"/>
                <w:szCs w:val="21"/>
                <w:lang w:eastAsia="zh-CN"/>
              </w:rPr>
              <w:t>，</w:t>
            </w:r>
            <w:r>
              <w:rPr>
                <w:rFonts w:hint="eastAsia"/>
                <w:sz w:val="21"/>
                <w:szCs w:val="21"/>
              </w:rPr>
              <w:t>提高实战应用水平</w:t>
            </w:r>
            <w:r>
              <w:rPr>
                <w:rFonts w:hint="eastAsia"/>
                <w:sz w:val="21"/>
                <w:szCs w:val="21"/>
                <w:lang w:eastAsia="zh-CN"/>
              </w:rPr>
              <w:t>。</w:t>
            </w:r>
          </w:p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身体健康</w:t>
            </w:r>
            <w:r>
              <w:rPr>
                <w:rFonts w:hint="eastAsia"/>
                <w:sz w:val="21"/>
                <w:szCs w:val="21"/>
              </w:rPr>
              <w:t>：积极参与篮球练习，主动作准备活动，避免运动损伤</w:t>
            </w:r>
            <w:r>
              <w:rPr>
                <w:rFonts w:hint="eastAsia"/>
                <w:sz w:val="21"/>
                <w:szCs w:val="21"/>
                <w:lang w:eastAsia="zh-CN"/>
              </w:rPr>
              <w:t>，</w:t>
            </w:r>
            <w:r>
              <w:rPr>
                <w:rFonts w:hint="eastAsia"/>
                <w:sz w:val="21"/>
                <w:szCs w:val="21"/>
              </w:rPr>
              <w:t>发展</w:t>
            </w:r>
            <w:r>
              <w:rPr>
                <w:sz w:val="21"/>
                <w:szCs w:val="21"/>
              </w:rPr>
              <w:t>学生灵敏协调和全身</w:t>
            </w:r>
            <w:r>
              <w:rPr>
                <w:rFonts w:hint="eastAsia"/>
                <w:sz w:val="21"/>
                <w:szCs w:val="21"/>
              </w:rPr>
              <w:t>力量，提高</w:t>
            </w:r>
            <w:r>
              <w:rPr>
                <w:sz w:val="21"/>
                <w:szCs w:val="21"/>
              </w:rPr>
              <w:t>体能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心理健康与社会适应</w:t>
            </w:r>
            <w:r>
              <w:rPr>
                <w:rFonts w:hint="eastAsia"/>
                <w:sz w:val="21"/>
                <w:szCs w:val="21"/>
              </w:rPr>
              <w:t>：合作互助，体验篮球运动的快乐</w:t>
            </w:r>
            <w:r>
              <w:rPr>
                <w:rFonts w:hint="eastAsia"/>
                <w:sz w:val="21"/>
                <w:szCs w:val="21"/>
                <w:lang w:eastAsia="zh-CN"/>
              </w:rPr>
              <w:t>，</w:t>
            </w:r>
            <w:r>
              <w:rPr>
                <w:rFonts w:hint="eastAsia"/>
                <w:sz w:val="21"/>
                <w:szCs w:val="21"/>
              </w:rPr>
              <w:t>培养</w:t>
            </w:r>
            <w:r>
              <w:rPr>
                <w:sz w:val="21"/>
                <w:szCs w:val="21"/>
              </w:rPr>
              <w:t>学生合作探究</w:t>
            </w:r>
            <w:r>
              <w:rPr>
                <w:rFonts w:hint="eastAsia"/>
                <w:sz w:val="21"/>
                <w:szCs w:val="21"/>
              </w:rPr>
              <w:t>，培养集体主义精神。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学习内容</w:t>
            </w:r>
          </w:p>
        </w:tc>
        <w:tc>
          <w:tcPr>
            <w:tcW w:w="8130" w:type="dxa"/>
            <w:gridSpan w:val="13"/>
          </w:tcPr>
          <w:p>
            <w:pPr>
              <w:spacing w:line="360" w:lineRule="auto"/>
              <w:rPr>
                <w:rFonts w:hint="eastAsia" w:ascii="宋体" w:hAnsi="宋体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运球、传球，移动</w:t>
            </w:r>
            <w:r>
              <w:rPr>
                <w:rFonts w:hint="eastAsia"/>
                <w:sz w:val="21"/>
                <w:szCs w:val="21"/>
                <w:lang w:eastAsia="zh-CN"/>
              </w:rPr>
              <w:t>，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投篮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重点</w:t>
            </w:r>
          </w:p>
        </w:tc>
        <w:tc>
          <w:tcPr>
            <w:tcW w:w="3856" w:type="dxa"/>
            <w:gridSpan w:val="5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运球</w:t>
            </w:r>
          </w:p>
        </w:tc>
        <w:tc>
          <w:tcPr>
            <w:tcW w:w="1433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教学难点</w:t>
            </w:r>
          </w:p>
        </w:tc>
        <w:tc>
          <w:tcPr>
            <w:tcW w:w="2841" w:type="dxa"/>
            <w:gridSpan w:val="7"/>
            <w:vAlign w:val="center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提高命中率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场地器材</w:t>
            </w:r>
          </w:p>
        </w:tc>
        <w:tc>
          <w:tcPr>
            <w:tcW w:w="8130" w:type="dxa"/>
            <w:gridSpan w:val="13"/>
          </w:tcPr>
          <w:p>
            <w:pPr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三个篮球场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篮球若干个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安全措施</w:t>
            </w:r>
          </w:p>
        </w:tc>
        <w:tc>
          <w:tcPr>
            <w:tcW w:w="8130" w:type="dxa"/>
            <w:gridSpan w:val="13"/>
          </w:tcPr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检查场地器材，消除安全隐患；2、做好准备活动，预防运动损伤；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教学流程</w:t>
            </w:r>
          </w:p>
        </w:tc>
        <w:tc>
          <w:tcPr>
            <w:tcW w:w="8130" w:type="dxa"/>
            <w:gridSpan w:val="13"/>
            <w:vAlign w:val="center"/>
          </w:tcPr>
          <w:p>
            <w:pPr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课堂常规、准备活动——</w:t>
            </w:r>
            <w:r>
              <w:rPr>
                <w:rFonts w:hint="eastAsia"/>
                <w:sz w:val="21"/>
                <w:szCs w:val="21"/>
              </w:rPr>
              <w:t>运、传、投技术动作</w:t>
            </w:r>
            <w:r>
              <w:rPr>
                <w:rFonts w:hint="eastAsia"/>
                <w:color w:val="000000"/>
                <w:sz w:val="21"/>
                <w:szCs w:val="21"/>
              </w:rPr>
              <w:t>—</w:t>
            </w:r>
            <w:r>
              <w:rPr>
                <w:rFonts w:hint="eastAsia"/>
                <w:color w:val="000000"/>
                <w:sz w:val="21"/>
                <w:szCs w:val="21"/>
                <w:lang w:val="en-US" w:eastAsia="zh-CN"/>
              </w:rPr>
              <w:t>投篮</w:t>
            </w:r>
            <w:r>
              <w:rPr>
                <w:rFonts w:hint="eastAsia"/>
                <w:color w:val="000000"/>
                <w:sz w:val="21"/>
                <w:szCs w:val="21"/>
              </w:rPr>
              <w:t>—放松、讲评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课的结构</w:t>
            </w:r>
          </w:p>
        </w:tc>
        <w:tc>
          <w:tcPr>
            <w:tcW w:w="992" w:type="dxa"/>
          </w:tcPr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目标</w:t>
            </w:r>
          </w:p>
        </w:tc>
        <w:tc>
          <w:tcPr>
            <w:tcW w:w="1305" w:type="dxa"/>
          </w:tcPr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内容</w:t>
            </w:r>
          </w:p>
        </w:tc>
        <w:tc>
          <w:tcPr>
            <w:tcW w:w="1530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练习时间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练习次数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课堂常规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992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明确课的目标，激发学生参与运动的热情。</w:t>
            </w:r>
          </w:p>
        </w:tc>
        <w:tc>
          <w:tcPr>
            <w:tcW w:w="1305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1、考勤。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3、宣布本课目标内容，强调安全，安排见习生。</w:t>
            </w:r>
          </w:p>
        </w:tc>
        <w:tc>
          <w:tcPr>
            <w:tcW w:w="1530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1、快，静，齐。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●●●●●</w:t>
            </w:r>
          </w:p>
          <w:p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1、检查人数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2、师生问好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3、宣布本节课目标内容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4、安排见习生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5、讲述高三课堂的要求责任。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/>
                <w:color w:val="FF0000"/>
                <w:sz w:val="21"/>
                <w:szCs w:val="21"/>
              </w:rPr>
              <w:t>2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3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热身运动</w:t>
            </w:r>
          </w:p>
        </w:tc>
        <w:tc>
          <w:tcPr>
            <w:tcW w:w="992" w:type="dxa"/>
          </w:tcPr>
          <w:p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积极参与准备活动，避免运动损伤，调动运动热情。</w:t>
            </w:r>
          </w:p>
        </w:tc>
        <w:tc>
          <w:tcPr>
            <w:tcW w:w="1305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热身活动操</w:t>
            </w:r>
          </w:p>
        </w:tc>
        <w:tc>
          <w:tcPr>
            <w:tcW w:w="1530" w:type="dxa"/>
            <w:gridSpan w:val="2"/>
          </w:tcPr>
          <w:p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１、扩胸运动　２、振背运动　　３、体侧运动　　４、肩绕环运动　　５、踢腿运动 ６、腹背运动　７、压腿运动 ８、跳跃运动 ９、踝腕关运动　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教学组织</w:t>
            </w:r>
            <w:r>
              <w:rPr>
                <w:rFonts w:hint="eastAsia"/>
                <w:sz w:val="21"/>
                <w:szCs w:val="21"/>
              </w:rPr>
              <w:t>：成四列横队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提要求组织练习、学生听口令集体练习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5分钟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 xml:space="preserve"> x 8/节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中小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6" w:hRule="atLeast"/>
        </w:trPr>
        <w:tc>
          <w:tcPr>
            <w:tcW w:w="710" w:type="dxa"/>
          </w:tcPr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习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30" name="直接箭头连接符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5.1pt;margin-top:16.6pt;height:0pt;width:0pt;z-index:252207104;mso-width-relative:page;mso-height-relative:page;" filled="f" stroked="t" coordsize="21600,21600" o:gfxdata="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KUnyLzUAAAACQEAAA8AAAAAAAAAAQAgAAAAIgAA&#10;AGRycy9kb3ducmV2LnhtbFBLAQIUABQAAAAIAIdO4kC9WswM0wEAAGwDAAAOAAAAAAAAAAEAIAAA&#10;ACMBAABkcnMvZTJvRG9jLnhtbFBLBQYAAAAABgAGAFkBAABo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992" w:type="dxa"/>
          </w:tcPr>
          <w:p>
            <w:pPr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</w:p>
          <w:p>
            <w:pPr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掌握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eastAsia="zh-CN"/>
              </w:rPr>
              <w:t>运、传接球的动作，</w:t>
            </w:r>
          </w:p>
          <w:p>
            <w:pPr>
              <w:rPr>
                <w:rFonts w:hint="eastAsia" w:ascii="宋体" w:hAnsi="宋体" w:cs="宋体" w:eastAsia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eastAsia="zh-CN"/>
              </w:rPr>
              <w:t>培养学生的肢体协调能力。</w:t>
            </w:r>
          </w:p>
          <w:p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305" w:type="dxa"/>
          </w:tcPr>
          <w:p>
            <w:pPr>
              <w:rPr>
                <w:rFonts w:hint="eastAsia"/>
                <w:sz w:val="21"/>
                <w:szCs w:val="21"/>
                <w:lang w:eastAsia="zh-CN"/>
              </w:rPr>
            </w:pPr>
          </w:p>
          <w:p>
            <w:pPr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运球</w:t>
            </w:r>
          </w:p>
          <w:p>
            <w:pPr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</w:p>
          <w:p>
            <w:pPr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</w:p>
          <w:p>
            <w:pPr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</w:p>
          <w:p>
            <w:pPr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</w:p>
          <w:p>
            <w:pPr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</w:p>
          <w:p>
            <w:pPr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传接球</w:t>
            </w:r>
          </w:p>
          <w:p>
            <w:pPr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</w:p>
          <w:p>
            <w:pPr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移动</w:t>
            </w: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学生练习</w:t>
            </w:r>
          </w:p>
          <w:p>
            <w:pPr>
              <w:rPr>
                <w:rFonts w:hint="eastAsia"/>
                <w:sz w:val="21"/>
                <w:szCs w:val="21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分组</w:t>
            </w:r>
            <w:bookmarkStart w:id="0" w:name="_GoBack"/>
            <w:bookmarkEnd w:id="0"/>
            <w:r>
              <w:rPr>
                <w:rFonts w:hint="eastAsia"/>
                <w:sz w:val="21"/>
                <w:szCs w:val="21"/>
                <w:lang w:val="en-US" w:eastAsia="zh-CN"/>
              </w:rPr>
              <w:t>投篮</w:t>
            </w:r>
          </w:p>
        </w:tc>
        <w:tc>
          <w:tcPr>
            <w:tcW w:w="1530" w:type="dxa"/>
            <w:gridSpan w:val="2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在原地运球，跑动中体会各种变向运球动作技术。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传接球：三人全场绕“8”字移动中传接球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2414976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160020</wp:posOffset>
                      </wp:positionV>
                      <wp:extent cx="635" cy="0"/>
                      <wp:effectExtent l="0" t="0" r="0" b="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.6pt;margin-top:12.6pt;height:0pt;width:0.05pt;z-index:252414976;mso-width-relative:page;mso-height-relative:page;" filled="f" stroked="t" coordsize="21600,21600" o:gfxdata="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05mQKtIAAAAFAQAADwAAAAAAAAABACAAAAAiAAAAZHJzL2Rvd25yZXYueG1s&#10;UEsBAhQAFAAAAAgAh07iQLuntHvFAQAAZAMAAA4AAAAAAAAAAQAgAAAAIQEAAGRycy9lMm9Eb2Mu&#10;eG1sUEsFBgAAAAAGAAYAWQEAAFg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2416000" behindDoc="0" locked="0" layoutInCell="1" allowOverlap="1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60960</wp:posOffset>
                      </wp:positionV>
                      <wp:extent cx="635" cy="0"/>
                      <wp:effectExtent l="0" t="0" r="0" b="0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7.6pt;margin-top:4.8pt;height:0pt;width:0.05pt;z-index:252416000;mso-width-relative:page;mso-height-relative:page;" filled="f" stroked="t" coordsize="21600,21600" o:gfxdata="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PWFmTdQAAAAHAQAADwAAAAAAAAABACAAAAAiAAAAZHJzL2Rvd25yZXYu&#10;eG1sUEsBAhQAFAAAAAgAh07iQHYht8vGAQAAZAMAAA4AAAAAAAAAAQAgAAAAIwEAAGRycy9lMm9E&#10;b2MueG1sUEsFBgAAAAAGAAYAWQEAAFs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2417024" behindDoc="0" locked="0" layoutInCell="1" allowOverlap="1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60960</wp:posOffset>
                      </wp:positionV>
                      <wp:extent cx="635" cy="0"/>
                      <wp:effectExtent l="0" t="0" r="0" b="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21.6pt;margin-top:4.8pt;height:0pt;width:0.05pt;z-index:252417024;mso-width-relative:page;mso-height-relative:page;" filled="f" stroked="t" coordsize="21600,21600" o:gfxdata="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PdVzt0wAAAAUBAAAPAAAAAAAAAAEAIAAAACIAAABkcnMvZG93bnJldi54&#10;bWxQSwECFAAUAAAACACHTuJAOJgU7cYBAABkAwAADgAAAAAAAAABACAAAAAiAQAAZHJzL2Uyb0Rv&#10;Yy54bWxQSwUGAAAAAAYABgBZAQAAW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。</w:t>
            </w:r>
          </w:p>
          <w:p>
            <w:pPr>
              <w:rPr>
                <w:rFonts w:hint="eastAsia"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学生依次进行运、传、接球的练习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559" w:type="dxa"/>
            <w:gridSpan w:val="3"/>
          </w:tcPr>
          <w:p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   </w:t>
            </w:r>
          </w:p>
          <w:p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分小组练习，小组长负责组织实施</w:t>
            </w:r>
          </w:p>
        </w:tc>
        <w:tc>
          <w:tcPr>
            <w:tcW w:w="1560" w:type="dxa"/>
            <w:gridSpan w:val="2"/>
          </w:tcPr>
          <w:p>
            <w:pPr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1、</w:t>
            </w:r>
            <w:r>
              <w:rPr>
                <w:rFonts w:hint="eastAsia" w:ascii="宋体" w:hAnsi="宋体"/>
                <w:color w:val="000000"/>
                <w:sz w:val="21"/>
                <w:szCs w:val="21"/>
              </w:rPr>
              <w:t>讲示动作，组织学生练习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ind w:left="405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2、观察学生动作，巡回辅导，个别纠正。</w:t>
            </w:r>
          </w:p>
          <w:p>
            <w:pPr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28分钟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中大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中大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身心放松</w:t>
            </w:r>
          </w:p>
        </w:tc>
        <w:tc>
          <w:tcPr>
            <w:tcW w:w="992" w:type="dxa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放松身心</w:t>
            </w:r>
          </w:p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认真小结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不断进步</w:t>
            </w:r>
          </w:p>
        </w:tc>
        <w:tc>
          <w:tcPr>
            <w:tcW w:w="1305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放松运动</w:t>
            </w:r>
          </w:p>
        </w:tc>
        <w:tc>
          <w:tcPr>
            <w:tcW w:w="1530" w:type="dxa"/>
            <w:gridSpan w:val="2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手臂放松                </w:t>
            </w:r>
          </w:p>
          <w:p>
            <w:pPr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 xml:space="preserve">腿部放松                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抖动放松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成四列横队</w:t>
            </w:r>
          </w:p>
        </w:tc>
        <w:tc>
          <w:tcPr>
            <w:tcW w:w="1560" w:type="dxa"/>
            <w:gridSpan w:val="2"/>
          </w:tcPr>
          <w:p>
            <w:pPr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小结本课；</w:t>
            </w:r>
          </w:p>
          <w:p>
            <w:pPr>
              <w:rPr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宣布下次课教学内容和课外练习内容。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5分钟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>x 8/节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平均心率预计</w:t>
            </w:r>
          </w:p>
        </w:tc>
        <w:tc>
          <w:tcPr>
            <w:tcW w:w="2297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145</w:t>
            </w:r>
            <w:r>
              <w:rPr>
                <w:rFonts w:hint="eastAsia" w:ascii="宋体" w:hAnsi="宋体"/>
                <w:sz w:val="21"/>
                <w:szCs w:val="21"/>
              </w:rPr>
              <w:t>%±5%</w:t>
            </w:r>
          </w:p>
        </w:tc>
        <w:tc>
          <w:tcPr>
            <w:tcW w:w="1530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强度指数预计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3119" w:type="dxa"/>
            <w:gridSpan w:val="5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1.6±0.1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60%</w:t>
            </w:r>
            <w:r>
              <w:rPr>
                <w:rFonts w:hint="eastAsia" w:ascii="宋体" w:hAnsi="宋体"/>
                <w:sz w:val="21"/>
                <w:szCs w:val="21"/>
              </w:rPr>
              <w:t>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6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运动心率曲线图预计</w:t>
            </w:r>
          </w:p>
        </w:tc>
        <w:tc>
          <w:tcPr>
            <w:tcW w:w="8130" w:type="dxa"/>
            <w:gridSpan w:val="13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运动量预测：</w:t>
            </w:r>
          </w:p>
          <w:p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   </w:t>
            </w:r>
            <w:r>
              <w:rPr>
                <w:sz w:val="21"/>
                <w:szCs w:val="21"/>
              </w:rPr>
              <w:drawing>
                <wp:inline distT="0" distB="0" distL="114300" distR="114300">
                  <wp:extent cx="5124450" cy="2525395"/>
                  <wp:effectExtent l="4445" t="4445" r="14605" b="22860"/>
                  <wp:docPr id="27" name="图表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szCs w:val="21"/>
              </w:rPr>
              <w:t xml:space="preserve">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4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课后反思</w:t>
            </w:r>
          </w:p>
        </w:tc>
        <w:tc>
          <w:tcPr>
            <w:tcW w:w="8130" w:type="dxa"/>
            <w:gridSpan w:val="13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</w:tr>
    </w:tbl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7B57C0"/>
    <w:multiLevelType w:val="multilevel"/>
    <w:tmpl w:val="5B7B57C0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C40A16"/>
    <w:rsid w:val="03C514D4"/>
    <w:rsid w:val="05DF79DF"/>
    <w:rsid w:val="29C36386"/>
    <w:rsid w:val="428A4D76"/>
    <w:rsid w:val="434863D1"/>
    <w:rsid w:val="46A009F9"/>
    <w:rsid w:val="481F025A"/>
    <w:rsid w:val="60C40A16"/>
    <w:rsid w:val="677E2796"/>
    <w:rsid w:val="7A7B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937796621196367"/>
          <c:y val="0.333311358839747"/>
          <c:w val="0.494170092100825"/>
          <c:h val="0.51082121135996"/>
        </c:manualLayout>
      </c:layout>
      <c:lineChart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dLbls>
            <c:delete val="1"/>
          </c:dLbls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157669376"/>
        <c:axId val="43856960"/>
      </c:lineChart>
      <c:catAx>
        <c:axId val="15766937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rgbClr val="000000"/>
                </a:solidFill>
                <a:latin typeface="+mn-lt"/>
                <a:ea typeface="+mn-ea"/>
                <a:cs typeface="+mn-cs"/>
              </a:defRPr>
            </a:pPr>
          </a:p>
        </c:txPr>
        <c:crossAx val="43856960"/>
        <c:crosses val="autoZero"/>
        <c:auto val="1"/>
        <c:lblAlgn val="ctr"/>
        <c:lblOffset val="100"/>
        <c:noMultiLvlLbl val="0"/>
      </c:catAx>
      <c:valAx>
        <c:axId val="438569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rgbClr val="000000"/>
                </a:solidFill>
                <a:latin typeface="+mn-lt"/>
                <a:ea typeface="+mn-ea"/>
                <a:cs typeface="+mn-cs"/>
              </a:defRPr>
            </a:pPr>
          </a:p>
        </c:txPr>
        <c:crossAx val="157669376"/>
        <c:crosses val="autoZero"/>
        <c:crossBetween val="between"/>
      </c:valAx>
    </c:plotArea>
    <c:plotVisOnly val="1"/>
    <c:dispBlanksAs val="zero"/>
    <c:showDLblsOverMax val="0"/>
  </c:chart>
  <c:txPr>
    <a:bodyPr/>
    <a:lstStyle/>
    <a:p>
      <a:pPr>
        <a:defRPr lang="zh-CN"/>
      </a:pPr>
    </a:p>
  </c:txPr>
  <c:externalData r:id="rId1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>
      <cdr:nvSpPr>
        <cdr:cNvPr id="2" name="矩形 1"/>
        <cdr:cNvSpPr/>
      </cdr:nvSpPr>
      <cdr:spPr xmlns:a="http://schemas.openxmlformats.org/drawingml/2006/main"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时间</a:t>
          </a:r>
          <a:endParaRPr lang="zh-CN" altLang="en-US" sz="1100"/>
        </a:p>
      </cdr:txBody>
    </cdr:sp>
  </cdr:relSizeAnchor>
  <cdr:relSizeAnchor xmlns:cdr="http://schemas.openxmlformats.org/drawingml/2006/chartDrawing">
    <cdr:from>
      <cdr:x>0</cdr:x>
      <cdr:y>0.15763</cdr:y>
    </cdr:from>
    <cdr:to>
      <cdr:x>0.1844</cdr:x>
      <cdr:y>0.27605</cdr:y>
    </cdr:to>
    <cdr:sp>
      <cdr:nvSpPr>
        <cdr:cNvPr id="3" name="矩形 2"/>
        <cdr:cNvSpPr/>
      </cdr:nvSpPr>
      <cdr:spPr xmlns:a="http://schemas.openxmlformats.org/drawingml/2006/main">
        <a:xfrm xmlns:a="http://schemas.openxmlformats.org/drawingml/2006/main">
          <a:off x="0" y="303991"/>
          <a:ext cx="488515" cy="228365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心率</a:t>
          </a:r>
          <a:endParaRPr lang="zh-CN" alt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rgbClr val="FFFFFF"/>
      </a:solidFill>
      <a:gradFill rotWithShape="1">
        <a:gsLst>
          <a:gs pos="0">
            <a:srgbClr val="FFFFFF">
              <a:tint val="50000"/>
              <a:satMod val="300000"/>
            </a:srgbClr>
          </a:gs>
          <a:gs pos="35000">
            <a:srgbClr val="FFFFFF">
              <a:tint val="37000"/>
              <a:satMod val="300000"/>
            </a:srgbClr>
          </a:gs>
          <a:gs pos="100000">
            <a:srgbClr val="FFFFFF">
              <a:tint val="15000"/>
              <a:satMod val="350000"/>
            </a:srgbClr>
          </a:gs>
        </a:gsLst>
        <a:lin ang="16200000" scaled="1"/>
      </a:gradFill>
      <a:gradFill rotWithShape="1">
        <a:gsLst>
          <a:gs pos="0">
            <a:srgbClr val="BDBDBD">
              <a:shade val="51000"/>
              <a:satMod val="130000"/>
            </a:srgbClr>
          </a:gs>
          <a:gs pos="80000">
            <a:srgbClr val="F7F7F7">
              <a:shade val="93000"/>
              <a:satMod val="130000"/>
            </a:srgbClr>
          </a:gs>
          <a:gs pos="100000">
            <a:srgbClr val="F8F8F8">
              <a:shade val="94000"/>
              <a:satMod val="135000"/>
            </a:srgbClr>
          </a:gs>
        </a:gsLst>
        <a:lin ang="16200000" scaled="0"/>
      </a:gradFill>
    </a:fillStyleLst>
    <a:lnStyleLst>
      <a:ln w="9525" cap="flat" cmpd="sng" algn="ctr">
        <a:solidFill>
          <a:srgbClr val="F9F9F9">
            <a:shade val="95000"/>
            <a:satMod val="105000"/>
          </a:srgbClr>
        </a:solidFill>
        <a:prstDash val="solid"/>
      </a:ln>
      <a:ln w="25400" cap="flat" cmpd="sng" algn="ctr">
        <a:solidFill>
          <a:srgbClr val="FFFFFF"/>
        </a:solidFill>
        <a:prstDash val="solid"/>
      </a:ln>
      <a:ln w="38100" cap="flat" cmpd="sng" algn="ctr">
        <a:solidFill>
          <a:srgbClr val="FFFFFF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rgbClr val="FFFFFF"/>
      </a:solidFill>
      <a:gradFill rotWithShape="1">
        <a:gsLst>
          <a:gs pos="0">
            <a:srgbClr val="FFFFFF">
              <a:tint val="40000"/>
              <a:satMod val="350000"/>
            </a:srgbClr>
          </a:gs>
          <a:gs pos="40000">
            <a:srgbClr val="FEFEFE">
              <a:tint val="45000"/>
              <a:shade val="99000"/>
              <a:satMod val="350000"/>
            </a:srgbClr>
          </a:gs>
          <a:gs pos="100000">
            <a:srgbClr val="7C7C7C">
              <a:shade val="20000"/>
              <a:satMod val="255000"/>
            </a:srgbClr>
          </a:gs>
        </a:gsLst>
        <a:path path="circle">
          <a:fillToRect l="50000" t="-80000" r="50000" b="180000"/>
        </a:path>
      </a:gradFill>
      <a:gradFill rotWithShape="1">
        <a:gsLst>
          <a:gs pos="0">
            <a:srgbClr val="FFFFFF">
              <a:tint val="80000"/>
              <a:satMod val="300000"/>
            </a:srgbClr>
          </a:gs>
          <a:gs pos="100000">
            <a:srgbClr val="959595">
              <a:shade val="30000"/>
              <a:satMod val="200000"/>
            </a:srgb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2019-01-14T11:08:00Z</dcterms:created>
  <dc:creator>文青</dc:creator>
  <cp:lastModifiedBy>文青</cp:lastModifiedBy>
  <dcterms:modified xsi:type="dcterms:W3CDTF">2019-01-14T11:15:17Z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