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广州市中小学体育与健康课时计划（篮球选修教案）</w:t>
      </w:r>
    </w:p>
    <w:tbl>
      <w:tblPr>
        <w:tblStyle w:val="4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305"/>
        <w:gridCol w:w="708"/>
        <w:gridCol w:w="822"/>
        <w:gridCol w:w="29"/>
        <w:gridCol w:w="1433"/>
        <w:gridCol w:w="97"/>
        <w:gridCol w:w="454"/>
        <w:gridCol w:w="1106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学校</w:t>
            </w:r>
          </w:p>
        </w:tc>
        <w:tc>
          <w:tcPr>
            <w:tcW w:w="2297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中大附中</w:t>
            </w:r>
          </w:p>
        </w:tc>
        <w:tc>
          <w:tcPr>
            <w:tcW w:w="708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班级</w:t>
            </w:r>
          </w:p>
        </w:tc>
        <w:tc>
          <w:tcPr>
            <w:tcW w:w="851" w:type="dxa"/>
            <w:gridSpan w:val="2"/>
          </w:tcPr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ascii="宋体" w:hAnsi="宋体"/>
                <w:sz w:val="21"/>
                <w:szCs w:val="21"/>
              </w:rPr>
              <w:t>高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二</w:t>
            </w:r>
          </w:p>
        </w:tc>
        <w:tc>
          <w:tcPr>
            <w:tcW w:w="1433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单元课次</w:t>
            </w:r>
          </w:p>
        </w:tc>
        <w:tc>
          <w:tcPr>
            <w:tcW w:w="551" w:type="dxa"/>
            <w:gridSpan w:val="2"/>
          </w:tcPr>
          <w:p>
            <w:pPr>
              <w:spacing w:line="360" w:lineRule="auto"/>
              <w:rPr>
                <w:rFonts w:hint="eastAsia" w:ascii="宋体" w:hAnsi="宋体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343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学习目标</w:t>
            </w:r>
          </w:p>
        </w:tc>
        <w:tc>
          <w:tcPr>
            <w:tcW w:w="8130" w:type="dxa"/>
            <w:gridSpan w:val="13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运动技能</w:t>
            </w:r>
            <w:r>
              <w:rPr>
                <w:rFonts w:hint="eastAsia"/>
                <w:sz w:val="21"/>
                <w:szCs w:val="21"/>
              </w:rPr>
              <w:t>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学习</w:t>
            </w:r>
            <w:r>
              <w:rPr>
                <w:rFonts w:hint="eastAsia"/>
                <w:sz w:val="21"/>
                <w:szCs w:val="21"/>
              </w:rPr>
              <w:t>篮球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步伐</w:t>
            </w:r>
            <w:r>
              <w:rPr>
                <w:rFonts w:hint="eastAsia"/>
                <w:sz w:val="21"/>
                <w:szCs w:val="21"/>
              </w:rPr>
              <w:t>起动、转身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</w:rPr>
              <w:t>运球基本技术，提高技术熟练程度。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身体健康</w:t>
            </w:r>
            <w:r>
              <w:rPr>
                <w:rFonts w:hint="eastAsia"/>
                <w:sz w:val="21"/>
                <w:szCs w:val="21"/>
              </w:rPr>
              <w:t>：发展学生上下肢协调性，提高</w:t>
            </w:r>
            <w:r>
              <w:rPr>
                <w:sz w:val="21"/>
                <w:szCs w:val="21"/>
              </w:rPr>
              <w:t>体能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心理健康与社会适应</w:t>
            </w:r>
            <w:r>
              <w:rPr>
                <w:rFonts w:hint="eastAsia"/>
                <w:sz w:val="21"/>
                <w:szCs w:val="21"/>
              </w:rPr>
              <w:t>：培养</w:t>
            </w:r>
            <w:r>
              <w:rPr>
                <w:sz w:val="21"/>
                <w:szCs w:val="21"/>
              </w:rPr>
              <w:t>学生合作探究、</w:t>
            </w:r>
            <w:r>
              <w:rPr>
                <w:rFonts w:hint="eastAsia"/>
                <w:sz w:val="21"/>
                <w:szCs w:val="21"/>
              </w:rPr>
              <w:t>勇于</w:t>
            </w:r>
            <w:r>
              <w:rPr>
                <w:sz w:val="21"/>
                <w:szCs w:val="21"/>
              </w:rPr>
              <w:t>克服困难的</w:t>
            </w:r>
            <w:r>
              <w:rPr>
                <w:rFonts w:hint="eastAsia"/>
                <w:sz w:val="21"/>
                <w:szCs w:val="21"/>
              </w:rPr>
              <w:t>优</w:t>
            </w:r>
            <w:r>
              <w:rPr>
                <w:sz w:val="21"/>
                <w:szCs w:val="21"/>
              </w:rPr>
              <w:t>良品质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学习内容</w:t>
            </w:r>
          </w:p>
        </w:tc>
        <w:tc>
          <w:tcPr>
            <w:tcW w:w="8130" w:type="dxa"/>
            <w:gridSpan w:val="13"/>
            <w:vAlign w:val="center"/>
          </w:tcPr>
          <w:p>
            <w:pPr>
              <w:jc w:val="both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步伐练习：</w:t>
            </w:r>
            <w:r>
              <w:rPr>
                <w:rFonts w:hint="eastAsia"/>
                <w:sz w:val="21"/>
                <w:szCs w:val="21"/>
              </w:rPr>
              <w:t>起动、转身</w:t>
            </w:r>
            <w:r>
              <w:rPr>
                <w:rFonts w:hint="eastAsia"/>
                <w:sz w:val="21"/>
                <w:szCs w:val="21"/>
                <w:lang w:eastAsia="zh-CN"/>
              </w:rPr>
              <w:t>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各种运球；投篮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重点</w:t>
            </w:r>
          </w:p>
        </w:tc>
        <w:tc>
          <w:tcPr>
            <w:tcW w:w="3856" w:type="dxa"/>
            <w:gridSpan w:val="5"/>
            <w:vAlign w:val="center"/>
          </w:tcPr>
          <w:p>
            <w:pPr>
              <w:jc w:val="both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各种运球</w:t>
            </w:r>
          </w:p>
        </w:tc>
        <w:tc>
          <w:tcPr>
            <w:tcW w:w="1433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教学难点</w:t>
            </w:r>
          </w:p>
        </w:tc>
        <w:tc>
          <w:tcPr>
            <w:tcW w:w="2841" w:type="dxa"/>
            <w:gridSpan w:val="7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上下肢协调配合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场地器材</w:t>
            </w:r>
          </w:p>
        </w:tc>
        <w:tc>
          <w:tcPr>
            <w:tcW w:w="8130" w:type="dxa"/>
            <w:gridSpan w:val="13"/>
          </w:tcPr>
          <w:p>
            <w:pPr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三个篮球场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篮球若干个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安全措施</w:t>
            </w:r>
          </w:p>
        </w:tc>
        <w:tc>
          <w:tcPr>
            <w:tcW w:w="8130" w:type="dxa"/>
            <w:gridSpan w:val="13"/>
          </w:tcPr>
          <w:p>
            <w:pPr>
              <w:pStyle w:val="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教学流程</w:t>
            </w:r>
          </w:p>
        </w:tc>
        <w:tc>
          <w:tcPr>
            <w:tcW w:w="8130" w:type="dxa"/>
            <w:gridSpan w:val="13"/>
            <w:vAlign w:val="center"/>
          </w:tcPr>
          <w:p>
            <w:pPr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课堂常规、准备活动——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步伐练习</w:t>
            </w:r>
            <w:r>
              <w:rPr>
                <w:rFonts w:hint="eastAsia"/>
                <w:color w:val="000000"/>
                <w:sz w:val="21"/>
                <w:szCs w:val="21"/>
              </w:rPr>
              <w:t>——</w:t>
            </w:r>
            <w:r>
              <w:rPr>
                <w:rFonts w:hint="eastAsia"/>
                <w:sz w:val="21"/>
                <w:szCs w:val="21"/>
              </w:rPr>
              <w:t>运球</w:t>
            </w:r>
            <w:r>
              <w:rPr>
                <w:rFonts w:hint="eastAsia"/>
                <w:color w:val="000000"/>
                <w:sz w:val="21"/>
                <w:szCs w:val="21"/>
              </w:rPr>
              <w:t>—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投篮</w:t>
            </w: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—</w:t>
            </w:r>
            <w:r>
              <w:rPr>
                <w:rFonts w:hint="eastAsia"/>
                <w:color w:val="000000"/>
                <w:sz w:val="21"/>
                <w:szCs w:val="21"/>
              </w:rPr>
              <w:t>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课的结构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目标</w:t>
            </w:r>
          </w:p>
        </w:tc>
        <w:tc>
          <w:tcPr>
            <w:tcW w:w="1305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内容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明确课的目标，激发学生参与运动的热情。</w:t>
            </w:r>
          </w:p>
        </w:tc>
        <w:tc>
          <w:tcPr>
            <w:tcW w:w="130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1、考勤。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3、宣布本课目标内容，强调安全，安排见习生。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3、宣布本节课目标内容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4、安排见习生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5、讲述高三课堂的要求责任。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/>
                <w:color w:val="FF0000"/>
                <w:sz w:val="21"/>
                <w:szCs w:val="21"/>
              </w:rPr>
              <w:t>2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热身运动</w:t>
            </w:r>
          </w:p>
        </w:tc>
        <w:tc>
          <w:tcPr>
            <w:tcW w:w="992" w:type="dxa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熟悉球性，提高控球能力，充分活动身体，避免运动损伤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305" w:type="dxa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准备运动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熟悉球性练习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530" w:type="dxa"/>
            <w:gridSpan w:val="2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１、十指拨球运动２、球腰绕环运动　　３、体前提拉球４、球跨下绕环运动　　５、体前运球　  ６、跨下运球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教学组织</w:t>
            </w:r>
            <w:r>
              <w:rPr>
                <w:rFonts w:hint="eastAsia"/>
                <w:sz w:val="21"/>
                <w:szCs w:val="21"/>
              </w:rPr>
              <w:t>：成四列横队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教学方法：先示范后讲解、边示范边提要求、学生听口令集体练习。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 x 8/节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中小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8" name="直接箭头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2101632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pSfIvNQAAAAJAQAADwAAAAAAAAABACAAAAAiAAAA&#10;ZHJzL2Rvd25yZXYueG1sUEsBAhQAFAAAAAgAh07iQAXmL6PSAQAAbA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>
            <w:pPr>
              <w:rPr>
                <w:rFonts w:hint="eastAsia" w:ascii="Times New Roman" w:hAnsi="Times New Roman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合理做出篮球步伐动作。</w:t>
            </w:r>
          </w:p>
        </w:tc>
        <w:tc>
          <w:tcPr>
            <w:tcW w:w="1305" w:type="dxa"/>
          </w:tcPr>
          <w:p>
            <w:pPr>
              <w:pStyle w:val="2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</w:p>
          <w:p>
            <w:pPr>
              <w:pStyle w:val="2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步伐练习</w:t>
            </w: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起动、运球和转身</w:t>
            </w: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/>
                <w:sz w:val="21"/>
                <w:szCs w:val="21"/>
              </w:rPr>
            </w:pPr>
          </w:p>
          <w:p>
            <w:pPr>
              <w:pStyle w:val="2"/>
              <w:rPr>
                <w:rFonts w:hint="eastAsia" w:eastAsia="宋体"/>
                <w:sz w:val="21"/>
                <w:szCs w:val="21"/>
                <w:lang w:eastAsia="zh-CN"/>
              </w:rPr>
            </w:pPr>
          </w:p>
        </w:tc>
        <w:tc>
          <w:tcPr>
            <w:tcW w:w="1530" w:type="dxa"/>
            <w:gridSpan w:val="2"/>
          </w:tcPr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1、</w:t>
            </w:r>
            <w:r>
              <w:rPr>
                <w:rFonts w:hint="eastAsia" w:ascii="宋体"/>
                <w:sz w:val="21"/>
                <w:szCs w:val="21"/>
                <w:lang w:eastAsia="zh-CN"/>
              </w:rPr>
              <w:t>学生依次有序进行起动和运球结合练习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</w:t>
            </w:r>
            <w:r>
              <w:rPr>
                <w:rFonts w:hint="eastAsia" w:ascii="宋体" w:hAnsi="宋体"/>
                <w:sz w:val="21"/>
                <w:szCs w:val="21"/>
              </w:rPr>
              <w:t>学生依次有序进行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起动、运球和转身动作的连贯</w:t>
            </w:r>
            <w:r>
              <w:rPr>
                <w:rFonts w:hint="eastAsia" w:ascii="宋体" w:hAnsi="宋体"/>
                <w:sz w:val="21"/>
                <w:szCs w:val="21"/>
              </w:rPr>
              <w:t>练习。</w:t>
            </w:r>
          </w:p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分组投篮练习。</w:t>
            </w:r>
          </w:p>
        </w:tc>
        <w:tc>
          <w:tcPr>
            <w:tcW w:w="1559" w:type="dxa"/>
            <w:gridSpan w:val="3"/>
          </w:tcPr>
          <w:p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    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</w:p>
          <w:p>
            <w:pPr>
              <w:rPr>
                <w:rFonts w:ascii="宋体" w:hAnsi="宋体"/>
                <w:sz w:val="21"/>
                <w:szCs w:val="21"/>
              </w:rPr>
            </w:pP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分小组练习，小组长负责组织实施</w:t>
            </w:r>
          </w:p>
        </w:tc>
        <w:tc>
          <w:tcPr>
            <w:tcW w:w="1560" w:type="dxa"/>
            <w:gridSpan w:val="2"/>
          </w:tcPr>
          <w:p>
            <w:pPr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1、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讲示动作，组织学生练习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ind w:left="405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2、观察学生动作，巡回辅导，个别纠正。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hint="eastAsia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28分钟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身心放松</w:t>
            </w:r>
          </w:p>
        </w:tc>
        <w:tc>
          <w:tcPr>
            <w:tcW w:w="992" w:type="dxa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放松身心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认真小结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不断进步</w:t>
            </w:r>
          </w:p>
        </w:tc>
        <w:tc>
          <w:tcPr>
            <w:tcW w:w="130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放松运动</w:t>
            </w:r>
          </w:p>
        </w:tc>
        <w:tc>
          <w:tcPr>
            <w:tcW w:w="1530" w:type="dxa"/>
            <w:gridSpan w:val="2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手臂放松                </w:t>
            </w:r>
          </w:p>
          <w:p>
            <w:pPr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 xml:space="preserve">腿部放松                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抖动放松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成四列横队</w:t>
            </w:r>
          </w:p>
        </w:tc>
        <w:tc>
          <w:tcPr>
            <w:tcW w:w="1560" w:type="dxa"/>
            <w:gridSpan w:val="2"/>
          </w:tcPr>
          <w:p>
            <w:pPr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小结本课；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5分钟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x 8/节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平均心率预计</w:t>
            </w:r>
          </w:p>
        </w:tc>
        <w:tc>
          <w:tcPr>
            <w:tcW w:w="2297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145</w:t>
            </w:r>
            <w:r>
              <w:rPr>
                <w:rFonts w:hint="eastAsia" w:ascii="宋体" w:hAnsi="宋体"/>
                <w:sz w:val="21"/>
                <w:szCs w:val="21"/>
              </w:rPr>
              <w:t>%±5%</w:t>
            </w:r>
          </w:p>
        </w:tc>
        <w:tc>
          <w:tcPr>
            <w:tcW w:w="1530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119" w:type="dxa"/>
            <w:gridSpan w:val="5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1.6</w:t>
            </w:r>
            <w:r>
              <w:rPr>
                <w:rFonts w:hint="eastAsia" w:ascii="宋体" w:hAnsi="宋体"/>
                <w:sz w:val="21"/>
                <w:szCs w:val="21"/>
              </w:rPr>
              <w:t>±0</w:t>
            </w:r>
            <w:r>
              <w:rPr>
                <w:rFonts w:hint="eastAsia" w:ascii="宋体" w:hAnsi="宋体"/>
                <w:sz w:val="21"/>
                <w:szCs w:val="21"/>
              </w:rPr>
              <w:t>.</w:t>
            </w:r>
            <w:r>
              <w:rPr>
                <w:rFonts w:hint="eastAsia" w:ascii="宋体" w:hAnsi="宋体"/>
                <w:sz w:val="21"/>
                <w:szCs w:val="21"/>
              </w:rPr>
              <w:t>1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60%</w:t>
            </w:r>
            <w:r>
              <w:rPr>
                <w:rFonts w:hint="eastAsia" w:ascii="宋体" w:hAnsi="宋体"/>
                <w:sz w:val="21"/>
                <w:szCs w:val="21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6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3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运动量预测：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sz w:val="21"/>
                <w:szCs w:val="21"/>
              </w:rPr>
              <w:drawing>
                <wp:inline distT="0" distB="0" distL="114300" distR="114300">
                  <wp:extent cx="5124450" cy="2525395"/>
                  <wp:effectExtent l="4445" t="4445" r="14605" b="22860"/>
                  <wp:docPr id="31" name="图表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szCs w:val="21"/>
              </w:rPr>
              <w:t xml:space="preserve">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课后反思</w:t>
            </w:r>
          </w:p>
        </w:tc>
        <w:tc>
          <w:tcPr>
            <w:tcW w:w="8130" w:type="dxa"/>
            <w:gridSpan w:val="13"/>
          </w:tcPr>
          <w:p>
            <w:pPr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rPr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jc w:val="center"/>
        <w:rPr>
          <w:rFonts w:hint="eastAsia" w:ascii="宋体" w:hAnsi="宋体"/>
          <w:sz w:val="21"/>
          <w:szCs w:val="21"/>
        </w:rPr>
      </w:pP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F3F3F"/>
    <w:multiLevelType w:val="multilevel"/>
    <w:tmpl w:val="29BF3F3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D64B84"/>
    <w:rsid w:val="0CDC40F0"/>
    <w:rsid w:val="70DF55B3"/>
    <w:rsid w:val="73A703CB"/>
    <w:rsid w:val="7A97703C"/>
    <w:rsid w:val="7BD6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rPr>
      <w:rFonts w:ascii="Times New Roman" w:hAnsi="Times New Roman" w:eastAsia="宋体" w:cs="Times New Roman"/>
      <w:sz w:val="24"/>
      <w:szCs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7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157669376"/>
        <c:axId val="43856960"/>
      </c:lineChart>
      <c:catAx>
        <c:axId val="1576693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rgbClr val="000000"/>
                </a:solidFill>
                <a:latin typeface="+mn-lt"/>
                <a:ea typeface="+mn-ea"/>
                <a:cs typeface="+mn-cs"/>
              </a:defRPr>
            </a:pPr>
          </a:p>
        </c:txPr>
        <c:crossAx val="43856960"/>
        <c:crosses val="autoZero"/>
        <c:auto val="1"/>
        <c:lblAlgn val="ctr"/>
        <c:lblOffset val="100"/>
        <c:noMultiLvlLbl val="0"/>
      </c:catAx>
      <c:valAx>
        <c:axId val="43856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rgbClr val="000000"/>
                </a:solidFill>
                <a:latin typeface="+mn-lt"/>
                <a:ea typeface="+mn-ea"/>
                <a:cs typeface="+mn-cs"/>
              </a:defRPr>
            </a:pPr>
          </a:p>
        </c:txPr>
        <c:crossAx val="157669376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</cdr:x>
      <cdr:y>0.15763</cdr:y>
    </cdr:from>
    <cdr:to>
      <cdr:x>0.1844</cdr:x>
      <cdr:y>0.27605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0" y="303991"/>
          <a:ext cx="488515" cy="228365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rgbClr val="FFFFFF"/>
      </a:solidFill>
      <a:gradFill rotWithShape="1">
        <a:gsLst>
          <a:gs pos="0">
            <a:srgbClr val="FFFFFF">
              <a:tint val="50000"/>
              <a:satMod val="300000"/>
            </a:srgbClr>
          </a:gs>
          <a:gs pos="35000">
            <a:srgbClr val="FFFFFF">
              <a:tint val="37000"/>
              <a:satMod val="300000"/>
            </a:srgbClr>
          </a:gs>
          <a:gs pos="100000">
            <a:srgbClr val="FFFFFF">
              <a:tint val="15000"/>
              <a:satMod val="350000"/>
            </a:srgbClr>
          </a:gs>
        </a:gsLst>
        <a:lin ang="16200000" scaled="1"/>
      </a:gradFill>
      <a:gradFill rotWithShape="1">
        <a:gsLst>
          <a:gs pos="0">
            <a:srgbClr val="BDBDBD">
              <a:shade val="51000"/>
              <a:satMod val="130000"/>
            </a:srgbClr>
          </a:gs>
          <a:gs pos="80000">
            <a:srgbClr val="F7F7F7">
              <a:shade val="93000"/>
              <a:satMod val="130000"/>
            </a:srgbClr>
          </a:gs>
          <a:gs pos="100000">
            <a:srgbClr val="F8F8F8">
              <a:shade val="94000"/>
              <a:satMod val="135000"/>
            </a:srgbClr>
          </a:gs>
        </a:gsLst>
        <a:lin ang="16200000" scaled="0"/>
      </a:gradFill>
    </a:fillStyleLst>
    <a:lnStyleLst>
      <a:ln w="9525" cap="flat" cmpd="sng" algn="ctr">
        <a:solidFill>
          <a:srgbClr val="F9F9F9">
            <a:shade val="95000"/>
            <a:satMod val="105000"/>
          </a:srgbClr>
        </a:solidFill>
        <a:prstDash val="solid"/>
      </a:ln>
      <a:ln w="25400" cap="flat" cmpd="sng" algn="ctr">
        <a:solidFill>
          <a:srgbClr val="FFFFFF"/>
        </a:solidFill>
        <a:prstDash val="solid"/>
      </a:ln>
      <a:ln w="38100" cap="flat" cmpd="sng" algn="ctr">
        <a:solidFill>
          <a:srgbClr val="FFFFFF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rgbClr val="FFFFFF"/>
      </a:solidFill>
      <a:gradFill rotWithShape="1">
        <a:gsLst>
          <a:gs pos="0">
            <a:srgbClr val="FFFFFF">
              <a:tint val="40000"/>
              <a:satMod val="350000"/>
            </a:srgbClr>
          </a:gs>
          <a:gs pos="40000">
            <a:srgbClr val="FEFEFE">
              <a:tint val="45000"/>
              <a:shade val="99000"/>
              <a:satMod val="350000"/>
            </a:srgbClr>
          </a:gs>
          <a:gs pos="100000">
            <a:srgbClr val="7C7C7C">
              <a:shade val="20000"/>
              <a:satMod val="255000"/>
            </a:srgbClr>
          </a:gs>
        </a:gsLst>
        <a:path path="circle">
          <a:fillToRect l="50000" t="-80000" r="50000" b="180000"/>
        </a:path>
      </a:gradFill>
      <a:gradFill rotWithShape="1">
        <a:gsLst>
          <a:gs pos="0">
            <a:srgbClr val="FFFFFF">
              <a:tint val="80000"/>
              <a:satMod val="300000"/>
            </a:srgbClr>
          </a:gs>
          <a:gs pos="100000">
            <a:srgbClr val="959595">
              <a:shade val="30000"/>
              <a:satMod val="200000"/>
            </a:srgb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2019-01-14T11:07:00Z</dcterms:created>
  <dc:creator>文青</dc:creator>
  <cp:lastModifiedBy>文青</cp:lastModifiedBy>
  <dcterms:modified xsi:type="dcterms:W3CDTF">2019-01-14T11:13:22Z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