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89371" w14:textId="6680DEE0" w:rsidR="005F102E" w:rsidRPr="00193A7D" w:rsidRDefault="006216D9" w:rsidP="00B909DA">
      <w:pPr>
        <w:pStyle w:val="a7"/>
        <w:spacing w:before="0" w:beforeAutospacing="0" w:after="0" w:afterAutospacing="0"/>
        <w:ind w:firstLineChars="900" w:firstLine="2520"/>
        <w:rPr>
          <w:rFonts w:ascii="PingFangTC-light" w:hAnsi="PingFangTC-light" w:hint="eastAsia"/>
          <w:sz w:val="28"/>
          <w:szCs w:val="28"/>
        </w:rPr>
      </w:pPr>
      <w:r w:rsidRPr="006216D9">
        <w:rPr>
          <w:rFonts w:ascii="PingFangTC-light" w:hAnsi="PingFangTC-light"/>
          <w:sz w:val="28"/>
          <w:szCs w:val="28"/>
        </w:rPr>
        <w:t>梵志登</w:t>
      </w:r>
      <w:r>
        <w:rPr>
          <w:rFonts w:ascii="PingFangTC-light" w:hAnsi="PingFangTC-light" w:hint="eastAsia"/>
          <w:sz w:val="28"/>
          <w:szCs w:val="28"/>
        </w:rPr>
        <w:t>*</w:t>
      </w:r>
      <w:r w:rsidR="005F102E" w:rsidRPr="00193A7D">
        <w:rPr>
          <w:rFonts w:ascii="PingFangTC-light" w:hAnsi="PingFangTC-light" w:hint="eastAsia"/>
          <w:sz w:val="28"/>
          <w:szCs w:val="28"/>
        </w:rPr>
        <w:t>纽爱</w:t>
      </w:r>
      <w:r>
        <w:rPr>
          <w:rFonts w:ascii="PingFangTC-light" w:hAnsi="PingFangTC-light" w:hint="eastAsia"/>
          <w:sz w:val="28"/>
          <w:szCs w:val="28"/>
        </w:rPr>
        <w:t>*</w:t>
      </w:r>
      <w:r>
        <w:rPr>
          <w:rFonts w:ascii="PingFangTC-light" w:hAnsi="PingFangTC-light" w:hint="eastAsia"/>
          <w:sz w:val="28"/>
          <w:szCs w:val="28"/>
        </w:rPr>
        <w:t>星海</w:t>
      </w:r>
      <w:bookmarkStart w:id="0" w:name="_GoBack"/>
      <w:bookmarkEnd w:id="0"/>
    </w:p>
    <w:p w14:paraId="76D01B26" w14:textId="523DBE11" w:rsidR="005D622A" w:rsidRPr="00FB507C" w:rsidRDefault="00193A7D" w:rsidP="00FB507C">
      <w:pPr>
        <w:pStyle w:val="a7"/>
        <w:spacing w:before="0" w:beforeAutospacing="0" w:after="0" w:afterAutospacing="0" w:line="480" w:lineRule="atLeast"/>
        <w:ind w:firstLineChars="200" w:firstLine="600"/>
        <w:rPr>
          <w:rFonts w:ascii="PingFangTC-light" w:hAnsi="PingFangTC-light" w:hint="eastAsia"/>
          <w:spacing w:val="30"/>
        </w:rPr>
      </w:pPr>
      <w:r w:rsidRPr="00FB507C">
        <w:rPr>
          <w:rFonts w:ascii="PingFangTC-light" w:hAnsi="PingFangTC-light" w:hint="eastAsia"/>
          <w:spacing w:val="30"/>
        </w:rPr>
        <w:t>我想说，伟大的作曲家创作出伟大的作品，和顶级的指挥家引领的顶级乐团之间，跨越时空，彼此成就！</w:t>
      </w:r>
    </w:p>
    <w:p w14:paraId="496BA4B6" w14:textId="6F7C0DE3" w:rsidR="005F102E" w:rsidRPr="00FB507C" w:rsidRDefault="005D622A" w:rsidP="00FB507C">
      <w:pPr>
        <w:pStyle w:val="a7"/>
        <w:spacing w:before="0" w:beforeAutospacing="0" w:after="0" w:afterAutospacing="0" w:line="480" w:lineRule="atLeast"/>
        <w:ind w:firstLineChars="200" w:firstLine="600"/>
        <w:rPr>
          <w:rFonts w:ascii="PingFangTC-light" w:hAnsi="PingFangTC-light" w:hint="eastAsia"/>
          <w:spacing w:val="30"/>
        </w:rPr>
      </w:pPr>
      <w:r w:rsidRPr="00FB507C">
        <w:rPr>
          <w:rFonts w:ascii="PingFangTC-light" w:hAnsi="PingFangTC-light" w:hint="eastAsia"/>
          <w:spacing w:val="30"/>
        </w:rPr>
        <w:t>继维也纳爱乐乐团、德累斯顿国家管弦乐团引人瞩目的广州首演之后，星海音乐厅迎来</w:t>
      </w:r>
      <w:r w:rsidR="00897D10">
        <w:rPr>
          <w:rFonts w:ascii="PingFangTC-light" w:hAnsi="PingFangTC-light" w:hint="eastAsia"/>
          <w:spacing w:val="30"/>
        </w:rPr>
        <w:t>了</w:t>
      </w:r>
      <w:r w:rsidRPr="00FB507C">
        <w:rPr>
          <w:rFonts w:ascii="PingFangTC-light" w:hAnsi="PingFangTC-light" w:hint="eastAsia"/>
          <w:spacing w:val="30"/>
        </w:rPr>
        <w:t>纽约爱乐乐团的广州首演。与国际接轨，与世界同步，星海音乐厅“年度音乐大赏”系列音乐会再次</w:t>
      </w:r>
      <w:r w:rsidR="00897D10">
        <w:rPr>
          <w:rFonts w:ascii="PingFangTC-light" w:hAnsi="PingFangTC-light" w:hint="eastAsia"/>
          <w:spacing w:val="30"/>
        </w:rPr>
        <w:t>让乐迷</w:t>
      </w:r>
      <w:r w:rsidRPr="00FB507C">
        <w:rPr>
          <w:rFonts w:ascii="PingFangTC-light" w:hAnsi="PingFangTC-light" w:hint="eastAsia"/>
          <w:spacing w:val="30"/>
        </w:rPr>
        <w:t>一同见证广州古典音乐历史的高光时刻。</w:t>
      </w:r>
      <w:r w:rsidR="00193A7D" w:rsidRPr="00FB507C">
        <w:rPr>
          <w:rFonts w:ascii="PingFangTC-light" w:hAnsi="PingFangTC-light"/>
          <w:spacing w:val="30"/>
        </w:rPr>
        <w:t xml:space="preserve"> </w:t>
      </w:r>
    </w:p>
    <w:p w14:paraId="3B76B13A" w14:textId="5FA38D22" w:rsidR="00861628" w:rsidRPr="00FB507C" w:rsidRDefault="005D622A" w:rsidP="00FB507C">
      <w:pPr>
        <w:pStyle w:val="a7"/>
        <w:spacing w:before="0" w:beforeAutospacing="0" w:after="0" w:afterAutospacing="0" w:line="480" w:lineRule="atLeast"/>
        <w:ind w:firstLineChars="200" w:firstLine="600"/>
        <w:rPr>
          <w:rFonts w:ascii="PingFangTC-light" w:hAnsi="PingFangTC-light" w:hint="eastAsia"/>
          <w:spacing w:val="30"/>
        </w:rPr>
      </w:pPr>
      <w:r w:rsidRPr="00FB507C">
        <w:rPr>
          <w:rFonts w:ascii="PingFangTC-light" w:hAnsi="PingFangTC-light" w:hint="eastAsia"/>
          <w:spacing w:val="30"/>
        </w:rPr>
        <w:t>今晚</w:t>
      </w:r>
      <w:r w:rsidR="00861628" w:rsidRPr="00FB507C">
        <w:rPr>
          <w:rFonts w:ascii="PingFangTC-light" w:hAnsi="PingFangTC-light"/>
          <w:spacing w:val="30"/>
        </w:rPr>
        <w:t>，当肖斯塔科维奇的</w:t>
      </w:r>
      <w:proofErr w:type="gramStart"/>
      <w:r w:rsidR="00861628" w:rsidRPr="00FB507C">
        <w:rPr>
          <w:rFonts w:ascii="PingFangTC-light" w:hAnsi="PingFangTC-light"/>
          <w:spacing w:val="30"/>
        </w:rPr>
        <w:t>“</w:t>
      </w:r>
      <w:proofErr w:type="gramEnd"/>
      <w:r w:rsidR="00861628" w:rsidRPr="00FB507C">
        <w:rPr>
          <w:rFonts w:ascii="PingFangTC-light" w:hAnsi="PingFangTC-light"/>
          <w:spacing w:val="30"/>
        </w:rPr>
        <w:t>室内乐交响曲</w:t>
      </w:r>
      <w:proofErr w:type="gramStart"/>
      <w:r w:rsidR="00861628" w:rsidRPr="00FB507C">
        <w:rPr>
          <w:rFonts w:ascii="PingFangTC-light" w:hAnsi="PingFangTC-light"/>
          <w:spacing w:val="30"/>
        </w:rPr>
        <w:t>“</w:t>
      </w:r>
      <w:proofErr w:type="gramEnd"/>
      <w:r w:rsidR="00861628" w:rsidRPr="00FB507C">
        <w:rPr>
          <w:rFonts w:ascii="PingFangTC-light" w:hAnsi="PingFangTC-light"/>
          <w:spacing w:val="30"/>
        </w:rPr>
        <w:t>在星海音乐厅交响乐演奏大厅演奏完毕之后，观众席沉默了几秒，随后才响起了潮水一般的掌声。掌声渐渐涨起，观众显然需要从乐曲的情绪中抽离，缓慢切换回现实。</w:t>
      </w:r>
      <w:r w:rsidRPr="00FB507C">
        <w:rPr>
          <w:rFonts w:ascii="PingFangTC-light" w:hAnsi="PingFangTC-light" w:hint="eastAsia"/>
          <w:spacing w:val="30"/>
        </w:rPr>
        <w:t>“</w:t>
      </w:r>
      <w:r w:rsidRPr="00FB507C">
        <w:rPr>
          <w:rFonts w:ascii="PingFangTC-light" w:hAnsi="PingFangTC-light"/>
          <w:spacing w:val="30"/>
        </w:rPr>
        <w:t>B</w:t>
      </w:r>
      <w:r w:rsidRPr="00FB507C">
        <w:rPr>
          <w:rFonts w:ascii="PingFangTC-light" w:hAnsi="PingFangTC-light" w:hint="eastAsia"/>
          <w:spacing w:val="30"/>
        </w:rPr>
        <w:t>rove</w:t>
      </w:r>
      <w:r w:rsidRPr="00FB507C">
        <w:rPr>
          <w:rFonts w:ascii="PingFangTC-light" w:hAnsi="PingFangTC-light" w:hint="eastAsia"/>
          <w:spacing w:val="30"/>
        </w:rPr>
        <w:t>”的叫好声在观众席此起彼伏，我想，也许</w:t>
      </w:r>
      <w:r w:rsidR="00861628" w:rsidRPr="00FB507C">
        <w:rPr>
          <w:rFonts w:ascii="PingFangTC-light" w:hAnsi="PingFangTC-light"/>
          <w:spacing w:val="30"/>
        </w:rPr>
        <w:t>有的人，</w:t>
      </w:r>
      <w:r w:rsidRPr="00FB507C">
        <w:rPr>
          <w:rFonts w:ascii="PingFangTC-light" w:hAnsi="PingFangTC-light" w:hint="eastAsia"/>
          <w:spacing w:val="30"/>
        </w:rPr>
        <w:t>已</w:t>
      </w:r>
      <w:r w:rsidR="00861628" w:rsidRPr="00FB507C">
        <w:rPr>
          <w:rFonts w:ascii="PingFangTC-light" w:hAnsi="PingFangTC-light"/>
          <w:spacing w:val="30"/>
        </w:rPr>
        <w:t>不知不觉泪流满面。</w:t>
      </w:r>
    </w:p>
    <w:p w14:paraId="53630788" w14:textId="436C6C0F" w:rsidR="00861628" w:rsidRDefault="005D622A" w:rsidP="00FB507C">
      <w:pPr>
        <w:pStyle w:val="a7"/>
        <w:spacing w:before="0" w:beforeAutospacing="0" w:after="0" w:afterAutospacing="0" w:line="480" w:lineRule="atLeast"/>
        <w:ind w:firstLineChars="200" w:firstLine="600"/>
        <w:rPr>
          <w:rFonts w:ascii="PingFangTC-light" w:hAnsi="PingFangTC-light"/>
          <w:spacing w:val="30"/>
        </w:rPr>
      </w:pPr>
      <w:r w:rsidRPr="00FB507C">
        <w:rPr>
          <w:rFonts w:ascii="PingFangTC-light" w:hAnsi="PingFangTC-light" w:hint="eastAsia"/>
          <w:spacing w:val="30"/>
        </w:rPr>
        <w:t>这就是音乐的力量！</w:t>
      </w:r>
    </w:p>
    <w:p w14:paraId="6D695267" w14:textId="77777777" w:rsidR="00814456" w:rsidRDefault="00F960E2" w:rsidP="005F7A51">
      <w:pPr>
        <w:pStyle w:val="a7"/>
        <w:spacing w:before="0" w:beforeAutospacing="0" w:after="0" w:afterAutospacing="0" w:line="480" w:lineRule="atLeast"/>
        <w:ind w:firstLineChars="200" w:firstLine="600"/>
        <w:rPr>
          <w:rFonts w:ascii="PingFangTC-light" w:hAnsi="PingFangTC-light"/>
          <w:spacing w:val="30"/>
        </w:rPr>
      </w:pPr>
      <w:r>
        <w:rPr>
          <w:rFonts w:ascii="PingFangTC-light" w:hAnsi="PingFangTC-light" w:hint="eastAsia"/>
          <w:spacing w:val="30"/>
        </w:rPr>
        <w:t>执棒</w:t>
      </w:r>
      <w:r>
        <w:rPr>
          <w:rFonts w:ascii="PingFangTC-light" w:hAnsi="PingFangTC-light" w:hint="eastAsia"/>
          <w:spacing w:val="30"/>
        </w:rPr>
        <w:t>指挥</w:t>
      </w:r>
      <w:r>
        <w:rPr>
          <w:rFonts w:ascii="PingFangTC-light" w:hAnsi="PingFangTC-light" w:hint="eastAsia"/>
          <w:spacing w:val="30"/>
        </w:rPr>
        <w:t>的</w:t>
      </w:r>
      <w:proofErr w:type="gramStart"/>
      <w:r w:rsidRPr="00193A7D">
        <w:rPr>
          <w:rFonts w:ascii="PingFangTC-light" w:hAnsi="PingFangTC-light"/>
          <w:spacing w:val="30"/>
        </w:rPr>
        <w:t>梵志登</w:t>
      </w:r>
      <w:proofErr w:type="gramEnd"/>
      <w:r>
        <w:rPr>
          <w:rFonts w:ascii="PingFangTC-light" w:hAnsi="PingFangTC-light" w:hint="eastAsia"/>
          <w:spacing w:val="30"/>
        </w:rPr>
        <w:t>大师</w:t>
      </w:r>
      <w:r w:rsidRPr="00193A7D">
        <w:rPr>
          <w:rFonts w:ascii="PingFangTC-light" w:hAnsi="PingFangTC-light"/>
          <w:spacing w:val="30"/>
        </w:rPr>
        <w:t>曾经做过乐团首席的经历，对于他指挥乐团帮助很大，也让他容易指出和纠正错误。坦白说，乐团有时候可能会让某些指挥家感到很难驾驭，但是</w:t>
      </w:r>
      <w:proofErr w:type="gramStart"/>
      <w:r w:rsidRPr="00193A7D">
        <w:rPr>
          <w:rFonts w:ascii="PingFangTC-light" w:hAnsi="PingFangTC-light"/>
          <w:spacing w:val="30"/>
        </w:rPr>
        <w:t>梵志登身上</w:t>
      </w:r>
      <w:proofErr w:type="gramEnd"/>
      <w:r w:rsidRPr="00193A7D">
        <w:rPr>
          <w:rFonts w:ascii="PingFangTC-light" w:hAnsi="PingFangTC-light"/>
          <w:spacing w:val="30"/>
        </w:rPr>
        <w:t>有令人惊讶的能力可以让乐团的演绎具有一致性。他很会发现、理解和解决问题。他对每个人的期望很高，也希望每个人都是准备充分的。团里面的</w:t>
      </w:r>
      <w:r w:rsidRPr="00193A7D">
        <w:rPr>
          <w:rFonts w:ascii="PingFangTC-light" w:hAnsi="PingFangTC-light"/>
          <w:spacing w:val="30"/>
        </w:rPr>
        <w:t>160</w:t>
      </w:r>
      <w:r w:rsidRPr="00193A7D">
        <w:rPr>
          <w:rFonts w:ascii="PingFangTC-light" w:hAnsi="PingFangTC-light"/>
          <w:spacing w:val="30"/>
        </w:rPr>
        <w:t>多个音乐家，包括不少明星演奏家，他们都不遗余力与</w:t>
      </w:r>
      <w:proofErr w:type="gramStart"/>
      <w:r w:rsidRPr="00193A7D">
        <w:rPr>
          <w:rFonts w:ascii="PingFangTC-light" w:hAnsi="PingFangTC-light"/>
          <w:spacing w:val="30"/>
        </w:rPr>
        <w:t>梵志登一起</w:t>
      </w:r>
      <w:proofErr w:type="gramEnd"/>
      <w:r w:rsidRPr="00193A7D">
        <w:rPr>
          <w:rFonts w:ascii="PingFangTC-light" w:hAnsi="PingFangTC-light"/>
          <w:spacing w:val="30"/>
        </w:rPr>
        <w:t>创造更美的音乐。</w:t>
      </w:r>
      <w:proofErr w:type="gramStart"/>
      <w:r w:rsidRPr="00193A7D">
        <w:rPr>
          <w:rFonts w:ascii="PingFangTC-light" w:hAnsi="PingFangTC-light"/>
          <w:spacing w:val="30"/>
        </w:rPr>
        <w:t>梵志登曾经</w:t>
      </w:r>
      <w:proofErr w:type="gramEnd"/>
      <w:r w:rsidRPr="00193A7D">
        <w:rPr>
          <w:rFonts w:ascii="PingFangTC-light" w:hAnsi="PingFangTC-light"/>
          <w:spacing w:val="30"/>
        </w:rPr>
        <w:t>说过，大部分乐团一开始就能达到六成功力，指挥可以去激发他们另外四成功力，但是对于纽约爱乐乐团来说，他们一开始就已经发挥了八成功力，指挥能做的都是犹如外科微创手术一般细微的调整。</w:t>
      </w:r>
    </w:p>
    <w:p w14:paraId="3CB7BA2F" w14:textId="56F1A8DA" w:rsidR="005F7A51" w:rsidRPr="005F7A51" w:rsidRDefault="00814456" w:rsidP="005F7A51">
      <w:pPr>
        <w:pStyle w:val="a7"/>
        <w:spacing w:before="0" w:beforeAutospacing="0" w:after="0" w:afterAutospacing="0" w:line="480" w:lineRule="atLeast"/>
        <w:ind w:firstLineChars="200" w:firstLine="600"/>
        <w:rPr>
          <w:rFonts w:ascii="PingFangTC-light" w:hAnsi="PingFangTC-light" w:hint="eastAsia"/>
          <w:spacing w:val="30"/>
        </w:rPr>
      </w:pPr>
      <w:proofErr w:type="gramStart"/>
      <w:r w:rsidRPr="00814456">
        <w:rPr>
          <w:rFonts w:ascii="PingFangTC-light" w:hAnsi="PingFangTC-light"/>
          <w:spacing w:val="30"/>
        </w:rPr>
        <w:t>梵志登</w:t>
      </w:r>
      <w:proofErr w:type="gramEnd"/>
      <w:r w:rsidRPr="00814456">
        <w:rPr>
          <w:rFonts w:ascii="PingFangTC-light" w:hAnsi="PingFangTC-light"/>
          <w:spacing w:val="30"/>
        </w:rPr>
        <w:t>用分别来自俄罗斯和德奥的音乐作品，给出了观众期待的答案。音乐会上半场，乐团弦乐演奏家们在指挥家带领下上演了由鲁道夫</w:t>
      </w:r>
      <w:r w:rsidRPr="00814456">
        <w:rPr>
          <w:rFonts w:ascii="PingFangTC-light" w:hAnsi="PingFangTC-light"/>
          <w:spacing w:val="30"/>
        </w:rPr>
        <w:t>·</w:t>
      </w:r>
      <w:r w:rsidRPr="00814456">
        <w:rPr>
          <w:rFonts w:ascii="PingFangTC-light" w:hAnsi="PingFangTC-light"/>
          <w:spacing w:val="30"/>
        </w:rPr>
        <w:t>巴塞尔将肖斯塔科维奇《第八弦乐四重奏》改编而成的《室内乐交响曲》。从四重奏到整个</w:t>
      </w:r>
      <w:proofErr w:type="gramStart"/>
      <w:r w:rsidRPr="00814456">
        <w:rPr>
          <w:rFonts w:ascii="PingFangTC-light" w:hAnsi="PingFangTC-light"/>
          <w:spacing w:val="30"/>
        </w:rPr>
        <w:t>弦</w:t>
      </w:r>
      <w:proofErr w:type="gramEnd"/>
      <w:r w:rsidRPr="00814456">
        <w:rPr>
          <w:rFonts w:ascii="PingFangTC-light" w:hAnsi="PingFangTC-light"/>
          <w:spacing w:val="30"/>
        </w:rPr>
        <w:t>乐团的扩</w:t>
      </w:r>
      <w:r w:rsidRPr="00814456">
        <w:rPr>
          <w:rFonts w:ascii="PingFangTC-light" w:hAnsi="PingFangTC-light"/>
          <w:spacing w:val="30"/>
        </w:rPr>
        <w:lastRenderedPageBreak/>
        <w:t>充，增强层次感是最显而易见的优势，但削弱细节表现力又是不可避免的损失。</w:t>
      </w:r>
      <w:r w:rsidRPr="00814456">
        <w:rPr>
          <w:rFonts w:hint="eastAsia"/>
          <w:spacing w:val="30"/>
        </w:rPr>
        <w:t>大师</w:t>
      </w:r>
      <w:r w:rsidRPr="00814456">
        <w:rPr>
          <w:spacing w:val="30"/>
        </w:rPr>
        <w:t>在指挥台上仿佛在放一只由弦乐演奏家组成的巨大风筝，他通过牢牢抓紧一根细线来引领整个乐团，这根细线就是音乐线条。在广板乐章中，这根线条缠绵而连续，乐句之间的起承转合相互照应。而在小快板乐章中，音乐线条错落有致，整个乐团展现出极佳的演奏弹性。</w:t>
      </w:r>
      <w:r w:rsidR="005F7A51" w:rsidRPr="00814456">
        <w:rPr>
          <w:rFonts w:ascii="PingFangTC-light" w:hAnsi="PingFangTC-light"/>
          <w:spacing w:val="30"/>
        </w:rPr>
        <w:br/>
      </w:r>
      <w:r w:rsidR="005F7A51">
        <w:rPr>
          <w:rFonts w:ascii="PingFangTC-light" w:hAnsi="PingFangTC-light" w:hint="eastAsia"/>
          <w:spacing w:val="30"/>
        </w:rPr>
        <w:t xml:space="preserve"> </w:t>
      </w:r>
      <w:r w:rsidR="005F7A51">
        <w:rPr>
          <w:rFonts w:ascii="PingFangTC-light" w:hAnsi="PingFangTC-light"/>
          <w:spacing w:val="30"/>
        </w:rPr>
        <w:t xml:space="preserve">  </w:t>
      </w:r>
      <w:r w:rsidR="005F7A51" w:rsidRPr="005F7A51">
        <w:rPr>
          <w:rFonts w:ascii="PingFangTC-light" w:hAnsi="PingFangTC-light"/>
          <w:spacing w:val="30"/>
        </w:rPr>
        <w:t>此外，通过整首作品的演绎，不难发现</w:t>
      </w:r>
      <w:proofErr w:type="gramStart"/>
      <w:r w:rsidR="005F7A51" w:rsidRPr="005F7A51">
        <w:rPr>
          <w:rFonts w:ascii="PingFangTC-light" w:hAnsi="PingFangTC-light"/>
          <w:spacing w:val="30"/>
        </w:rPr>
        <w:t>梵志登</w:t>
      </w:r>
      <w:proofErr w:type="gramEnd"/>
      <w:r w:rsidR="005F7A51" w:rsidRPr="005F7A51">
        <w:rPr>
          <w:rFonts w:ascii="PingFangTC-light" w:hAnsi="PingFangTC-light"/>
          <w:spacing w:val="30"/>
        </w:rPr>
        <w:t>对弦乐声部的出色训练，尤其是小提琴音色饱满立体的特点，为整个演绎添彩不少。</w:t>
      </w:r>
    </w:p>
    <w:p w14:paraId="1BE49AFB" w14:textId="77777777" w:rsidR="005F7A51" w:rsidRPr="005F7A51" w:rsidRDefault="005F7A51" w:rsidP="005F7A51">
      <w:pPr>
        <w:pStyle w:val="a7"/>
        <w:spacing w:before="0" w:beforeAutospacing="0" w:after="0" w:afterAutospacing="0" w:line="480" w:lineRule="atLeast"/>
        <w:ind w:firstLineChars="200" w:firstLine="600"/>
        <w:rPr>
          <w:rFonts w:ascii="PingFangTC-light" w:hAnsi="PingFangTC-light" w:hint="eastAsia"/>
          <w:spacing w:val="30"/>
        </w:rPr>
      </w:pPr>
      <w:r w:rsidRPr="005F7A51">
        <w:rPr>
          <w:rFonts w:ascii="PingFangTC-light" w:hAnsi="PingFangTC-light"/>
          <w:spacing w:val="30"/>
        </w:rPr>
        <w:t>音乐会下半场呈现了贝多芬著名的《第三交响曲》。指挥这首交响曲的</w:t>
      </w:r>
      <w:proofErr w:type="gramStart"/>
      <w:r w:rsidRPr="005F7A51">
        <w:rPr>
          <w:rFonts w:ascii="PingFangTC-light" w:hAnsi="PingFangTC-light"/>
          <w:spacing w:val="30"/>
        </w:rPr>
        <w:t>梵志登</w:t>
      </w:r>
      <w:proofErr w:type="gramEnd"/>
      <w:r w:rsidRPr="005F7A51">
        <w:rPr>
          <w:rFonts w:ascii="PingFangTC-light" w:hAnsi="PingFangTC-light"/>
          <w:spacing w:val="30"/>
        </w:rPr>
        <w:t>与上半场那个</w:t>
      </w:r>
      <w:proofErr w:type="gramStart"/>
      <w:r w:rsidRPr="005F7A51">
        <w:rPr>
          <w:rFonts w:ascii="PingFangTC-light" w:hAnsi="PingFangTC-light"/>
          <w:spacing w:val="30"/>
        </w:rPr>
        <w:t>弦</w:t>
      </w:r>
      <w:proofErr w:type="gramEnd"/>
      <w:r w:rsidRPr="005F7A51">
        <w:rPr>
          <w:rFonts w:ascii="PingFangTC-light" w:hAnsi="PingFangTC-light"/>
          <w:spacing w:val="30"/>
        </w:rPr>
        <w:t>乐团的</w:t>
      </w:r>
      <w:r w:rsidRPr="005F7A51">
        <w:rPr>
          <w:rFonts w:ascii="PingFangTC-light" w:hAnsi="PingFangTC-light"/>
          <w:spacing w:val="30"/>
        </w:rPr>
        <w:t>“</w:t>
      </w:r>
      <w:r w:rsidRPr="005F7A51">
        <w:rPr>
          <w:rFonts w:ascii="PingFangTC-light" w:hAnsi="PingFangTC-light"/>
          <w:spacing w:val="30"/>
        </w:rPr>
        <w:t>场边教练</w:t>
      </w:r>
      <w:r w:rsidRPr="005F7A51">
        <w:rPr>
          <w:rFonts w:ascii="PingFangTC-light" w:hAnsi="PingFangTC-light"/>
          <w:spacing w:val="30"/>
        </w:rPr>
        <w:t>”</w:t>
      </w:r>
      <w:r w:rsidRPr="005F7A51">
        <w:rPr>
          <w:rFonts w:ascii="PingFangTC-light" w:hAnsi="PingFangTC-light"/>
          <w:spacing w:val="30"/>
        </w:rPr>
        <w:t>判若两人。他在演绎这部</w:t>
      </w:r>
      <w:r w:rsidRPr="005F7A51">
        <w:rPr>
          <w:rFonts w:ascii="PingFangTC-light" w:hAnsi="PingFangTC-light"/>
          <w:spacing w:val="30"/>
        </w:rPr>
        <w:t>“</w:t>
      </w:r>
      <w:r w:rsidRPr="005F7A51">
        <w:rPr>
          <w:rFonts w:ascii="PingFangTC-light" w:hAnsi="PingFangTC-light"/>
          <w:spacing w:val="30"/>
        </w:rPr>
        <w:t>英雄</w:t>
      </w:r>
      <w:r w:rsidRPr="005F7A51">
        <w:rPr>
          <w:rFonts w:ascii="PingFangTC-light" w:hAnsi="PingFangTC-light"/>
          <w:spacing w:val="30"/>
        </w:rPr>
        <w:t>”</w:t>
      </w:r>
      <w:r w:rsidRPr="005F7A51">
        <w:rPr>
          <w:rFonts w:ascii="PingFangTC-light" w:hAnsi="PingFangTC-light"/>
          <w:spacing w:val="30"/>
        </w:rPr>
        <w:t>交响曲时极大程度展现了音乐个性，他不仅对演奏速度的选择极为独特，更</w:t>
      </w:r>
      <w:proofErr w:type="gramStart"/>
      <w:r w:rsidRPr="005F7A51">
        <w:rPr>
          <w:rFonts w:ascii="PingFangTC-light" w:hAnsi="PingFangTC-light"/>
          <w:spacing w:val="30"/>
        </w:rPr>
        <w:t>对力度</w:t>
      </w:r>
      <w:proofErr w:type="gramEnd"/>
      <w:r w:rsidRPr="005F7A51">
        <w:rPr>
          <w:rFonts w:ascii="PingFangTC-light" w:hAnsi="PingFangTC-light"/>
          <w:spacing w:val="30"/>
        </w:rPr>
        <w:t>的丰富变化热衷到了近乎痴迷的程度，经常引领乐团在同一乐句中突然做出大幅度强弱变化。纽约爱乐乐团也在指挥家这种苛刻的要求下最大限度的展现了自身实力，在每一个声部、每一把乐器都稳定发挥的基础上，最大限度地展现了作品的织体与层次。</w:t>
      </w:r>
    </w:p>
    <w:p w14:paraId="2C1A485B" w14:textId="77777777" w:rsidR="005F7A51" w:rsidRPr="005F7A51" w:rsidRDefault="005F7A51" w:rsidP="005F7A51">
      <w:pPr>
        <w:pStyle w:val="a7"/>
        <w:spacing w:before="0" w:beforeAutospacing="0" w:after="0" w:afterAutospacing="0" w:line="480" w:lineRule="atLeast"/>
        <w:ind w:firstLineChars="200" w:firstLine="600"/>
        <w:rPr>
          <w:rFonts w:ascii="PingFangTC-light" w:hAnsi="PingFangTC-light" w:hint="eastAsia"/>
          <w:spacing w:val="30"/>
        </w:rPr>
      </w:pPr>
    </w:p>
    <w:p w14:paraId="0756953E" w14:textId="77777777" w:rsidR="005F7A51" w:rsidRPr="005F7A51" w:rsidRDefault="005F7A51" w:rsidP="005F7A51">
      <w:pPr>
        <w:pStyle w:val="a7"/>
        <w:spacing w:before="0" w:beforeAutospacing="0" w:after="0" w:afterAutospacing="0" w:line="480" w:lineRule="atLeast"/>
        <w:ind w:firstLineChars="200" w:firstLine="600"/>
        <w:rPr>
          <w:rFonts w:ascii="PingFangTC-light" w:hAnsi="PingFangTC-light" w:hint="eastAsia"/>
          <w:spacing w:val="30"/>
        </w:rPr>
      </w:pPr>
      <w:r w:rsidRPr="005F7A51">
        <w:rPr>
          <w:rFonts w:ascii="PingFangTC-light" w:hAnsi="PingFangTC-light"/>
          <w:spacing w:val="30"/>
        </w:rPr>
        <w:t>这两首风格迥异的作品足可以视作</w:t>
      </w:r>
      <w:proofErr w:type="gramStart"/>
      <w:r w:rsidRPr="005F7A51">
        <w:rPr>
          <w:rFonts w:ascii="PingFangTC-light" w:hAnsi="PingFangTC-light"/>
          <w:spacing w:val="30"/>
        </w:rPr>
        <w:t>梵</w:t>
      </w:r>
      <w:proofErr w:type="gramEnd"/>
      <w:r w:rsidRPr="005F7A51">
        <w:rPr>
          <w:rFonts w:ascii="PingFangTC-light" w:hAnsi="PingFangTC-light"/>
          <w:spacing w:val="30"/>
        </w:rPr>
        <w:t>志登在纽约爱乐乐团的成果汇报，足可以解读成他为乐迷心中疑问给出的精彩答卷。他是纽约爱乐乐团的引领者，他引领乐团将传统发挥出最大功效，引领乐团探索古典音乐艺术在</w:t>
      </w:r>
      <w:r w:rsidRPr="005F7A51">
        <w:rPr>
          <w:rFonts w:ascii="PingFangTC-light" w:hAnsi="PingFangTC-light"/>
          <w:spacing w:val="30"/>
        </w:rPr>
        <w:t>21</w:t>
      </w:r>
      <w:r w:rsidRPr="005F7A51">
        <w:rPr>
          <w:rFonts w:ascii="PingFangTC-light" w:hAnsi="PingFangTC-light"/>
          <w:spacing w:val="30"/>
        </w:rPr>
        <w:t>世纪的新边际。</w:t>
      </w:r>
    </w:p>
    <w:p w14:paraId="026572B2" w14:textId="77777777" w:rsidR="008E743D" w:rsidRDefault="008E743D" w:rsidP="005F7A51">
      <w:pPr>
        <w:pStyle w:val="a7"/>
        <w:spacing w:before="0" w:beforeAutospacing="0" w:after="0" w:afterAutospacing="0"/>
        <w:ind w:firstLineChars="200" w:firstLine="600"/>
        <w:rPr>
          <w:rFonts w:ascii="PingFangTC-light" w:hAnsi="PingFangTC-light"/>
          <w:spacing w:val="30"/>
        </w:rPr>
      </w:pPr>
    </w:p>
    <w:p w14:paraId="0DFFEC21" w14:textId="56E74C42" w:rsidR="00193A7D" w:rsidRPr="005F7A51" w:rsidRDefault="00193A7D" w:rsidP="005F7A51">
      <w:pPr>
        <w:pStyle w:val="a7"/>
        <w:spacing w:before="0" w:beforeAutospacing="0" w:after="0" w:afterAutospacing="0"/>
        <w:ind w:firstLineChars="200" w:firstLine="600"/>
        <w:rPr>
          <w:rFonts w:ascii="PingFangTC-light" w:hAnsi="PingFangTC-light" w:hint="eastAsia"/>
          <w:spacing w:val="30"/>
        </w:rPr>
      </w:pPr>
      <w:r w:rsidRPr="005F7A51">
        <w:rPr>
          <w:rFonts w:ascii="PingFangTC-light" w:hAnsi="PingFangTC-light"/>
          <w:spacing w:val="30"/>
        </w:rPr>
        <w:t>人世间的聚散离合，或许会随着时间的流逝被淡忘，但经典，依旧会永恒</w:t>
      </w:r>
      <w:r w:rsidRPr="005F7A51">
        <w:rPr>
          <w:rFonts w:ascii="PingFangTC-light" w:hAnsi="PingFangTC-light"/>
          <w:spacing w:val="30"/>
        </w:rPr>
        <w:t>…</w:t>
      </w:r>
    </w:p>
    <w:p w14:paraId="16E7E6B1" w14:textId="2328EA86" w:rsidR="00861628" w:rsidRPr="005F7A51" w:rsidRDefault="00861628" w:rsidP="00861628">
      <w:pPr>
        <w:pStyle w:val="a7"/>
        <w:spacing w:before="0" w:beforeAutospacing="0" w:after="0" w:afterAutospacing="0"/>
        <w:rPr>
          <w:rFonts w:ascii="PingFangTC-light" w:hAnsi="PingFangTC-light"/>
          <w:spacing w:val="30"/>
        </w:rPr>
      </w:pPr>
      <w:r w:rsidRPr="005F7A51">
        <w:rPr>
          <w:rFonts w:ascii="PingFangTC-light" w:hAnsi="PingFangTC-light"/>
          <w:spacing w:val="30"/>
        </w:rPr>
        <w:br/>
      </w:r>
    </w:p>
    <w:sectPr w:rsidR="00861628" w:rsidRPr="005F7A5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9641B" w14:textId="77777777" w:rsidR="00C11DD1" w:rsidRDefault="00C11DD1" w:rsidP="00861628">
      <w:r>
        <w:separator/>
      </w:r>
    </w:p>
  </w:endnote>
  <w:endnote w:type="continuationSeparator" w:id="0">
    <w:p w14:paraId="2CE27B8F" w14:textId="77777777" w:rsidR="00C11DD1" w:rsidRDefault="00C11DD1" w:rsidP="00861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ingFangTC-light">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97709" w14:textId="77777777" w:rsidR="00C11DD1" w:rsidRDefault="00C11DD1" w:rsidP="00861628">
      <w:r>
        <w:separator/>
      </w:r>
    </w:p>
  </w:footnote>
  <w:footnote w:type="continuationSeparator" w:id="0">
    <w:p w14:paraId="3C15616B" w14:textId="77777777" w:rsidR="00C11DD1" w:rsidRDefault="00C11DD1" w:rsidP="008616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958"/>
    <w:rsid w:val="00193A7D"/>
    <w:rsid w:val="00210D58"/>
    <w:rsid w:val="005D622A"/>
    <w:rsid w:val="005F102E"/>
    <w:rsid w:val="005F7A51"/>
    <w:rsid w:val="006216D9"/>
    <w:rsid w:val="006A4DBF"/>
    <w:rsid w:val="007B5992"/>
    <w:rsid w:val="00814456"/>
    <w:rsid w:val="00861628"/>
    <w:rsid w:val="00897D10"/>
    <w:rsid w:val="008E743D"/>
    <w:rsid w:val="00B909DA"/>
    <w:rsid w:val="00C11DD1"/>
    <w:rsid w:val="00C17338"/>
    <w:rsid w:val="00F960E2"/>
    <w:rsid w:val="00FB507C"/>
    <w:rsid w:val="00FC69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51E3DF"/>
  <w15:chartTrackingRefBased/>
  <w15:docId w15:val="{B99D4F11-21F5-434E-8688-EEC4AAF76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162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61628"/>
    <w:rPr>
      <w:sz w:val="18"/>
      <w:szCs w:val="18"/>
    </w:rPr>
  </w:style>
  <w:style w:type="paragraph" w:styleId="a5">
    <w:name w:val="footer"/>
    <w:basedOn w:val="a"/>
    <w:link w:val="a6"/>
    <w:uiPriority w:val="99"/>
    <w:unhideWhenUsed/>
    <w:rsid w:val="00861628"/>
    <w:pPr>
      <w:tabs>
        <w:tab w:val="center" w:pos="4153"/>
        <w:tab w:val="right" w:pos="8306"/>
      </w:tabs>
      <w:snapToGrid w:val="0"/>
      <w:jc w:val="left"/>
    </w:pPr>
    <w:rPr>
      <w:sz w:val="18"/>
      <w:szCs w:val="18"/>
    </w:rPr>
  </w:style>
  <w:style w:type="character" w:customStyle="1" w:styleId="a6">
    <w:name w:val="页脚 字符"/>
    <w:basedOn w:val="a0"/>
    <w:link w:val="a5"/>
    <w:uiPriority w:val="99"/>
    <w:rsid w:val="00861628"/>
    <w:rPr>
      <w:sz w:val="18"/>
      <w:szCs w:val="18"/>
    </w:rPr>
  </w:style>
  <w:style w:type="paragraph" w:styleId="a7">
    <w:name w:val="Normal (Web)"/>
    <w:basedOn w:val="a"/>
    <w:uiPriority w:val="99"/>
    <w:unhideWhenUsed/>
    <w:rsid w:val="00861628"/>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8616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415851">
      <w:bodyDiv w:val="1"/>
      <w:marLeft w:val="0"/>
      <w:marRight w:val="0"/>
      <w:marTop w:val="0"/>
      <w:marBottom w:val="0"/>
      <w:divBdr>
        <w:top w:val="none" w:sz="0" w:space="0" w:color="auto"/>
        <w:left w:val="none" w:sz="0" w:space="0" w:color="auto"/>
        <w:bottom w:val="none" w:sz="0" w:space="0" w:color="auto"/>
        <w:right w:val="none" w:sz="0" w:space="0" w:color="auto"/>
      </w:divBdr>
    </w:div>
    <w:div w:id="667906360">
      <w:bodyDiv w:val="1"/>
      <w:marLeft w:val="0"/>
      <w:marRight w:val="0"/>
      <w:marTop w:val="0"/>
      <w:marBottom w:val="0"/>
      <w:divBdr>
        <w:top w:val="none" w:sz="0" w:space="0" w:color="auto"/>
        <w:left w:val="none" w:sz="0" w:space="0" w:color="auto"/>
        <w:bottom w:val="none" w:sz="0" w:space="0" w:color="auto"/>
        <w:right w:val="none" w:sz="0" w:space="0" w:color="auto"/>
      </w:divBdr>
    </w:div>
    <w:div w:id="189157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188</Words>
  <Characters>1077</Characters>
  <Application>Microsoft Office Word</Application>
  <DocSecurity>0</DocSecurity>
  <Lines>8</Lines>
  <Paragraphs>2</Paragraphs>
  <ScaleCrop>false</ScaleCrop>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14</cp:revision>
  <dcterms:created xsi:type="dcterms:W3CDTF">2019-07-11T06:50:00Z</dcterms:created>
  <dcterms:modified xsi:type="dcterms:W3CDTF">2019-07-11T08:36:00Z</dcterms:modified>
</cp:coreProperties>
</file>