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55C" w:rsidRDefault="000D5C9A" w:rsidP="0014455C">
      <w:pPr>
        <w:rPr>
          <w:rFonts w:ascii="宋体" w:eastAsia="宋体" w:hAnsi="宋体" w:cs="Arial" w:hint="eastAsia"/>
          <w:b/>
          <w:bCs/>
          <w:color w:val="000000" w:themeColor="text1"/>
          <w:kern w:val="36"/>
          <w:sz w:val="28"/>
          <w:szCs w:val="28"/>
        </w:rPr>
      </w:pPr>
      <w:r w:rsidRPr="000D5C9A">
        <w:rPr>
          <w:rFonts w:ascii="宋体" w:eastAsia="宋体" w:hAnsi="宋体" w:cs="Arial"/>
          <w:b/>
          <w:bCs/>
          <w:color w:val="000000" w:themeColor="text1"/>
          <w:kern w:val="36"/>
          <w:sz w:val="28"/>
          <w:szCs w:val="28"/>
        </w:rPr>
        <w:t>书名：《鼎革之际</w:t>
      </w:r>
      <w:r w:rsidRPr="000D5C9A">
        <w:rPr>
          <w:rFonts w:ascii="Arial" w:hAnsi="Arial" w:cs="Arial"/>
          <w:b/>
          <w:bCs/>
          <w:color w:val="000000" w:themeColor="text1"/>
          <w:kern w:val="36"/>
          <w:sz w:val="28"/>
          <w:szCs w:val="28"/>
        </w:rPr>
        <w:t>：</w:t>
      </w:r>
      <w:r w:rsidRPr="000D5C9A">
        <w:rPr>
          <w:rFonts w:ascii="宋体" w:eastAsia="宋体" w:hAnsi="宋体" w:cs="Arial"/>
          <w:b/>
          <w:bCs/>
          <w:color w:val="000000" w:themeColor="text1"/>
          <w:kern w:val="36"/>
          <w:sz w:val="28"/>
          <w:szCs w:val="28"/>
        </w:rPr>
        <w:t>明清交替史文集》</w:t>
      </w:r>
    </w:p>
    <w:p w:rsidR="0014455C" w:rsidRDefault="000D5C9A" w:rsidP="0014455C">
      <w:pPr>
        <w:rPr>
          <w:rFonts w:cs="Arial" w:hint="eastAsia"/>
          <w:b/>
          <w:color w:val="000000" w:themeColor="text1"/>
        </w:rPr>
      </w:pPr>
      <w:r w:rsidRPr="000D5C9A">
        <w:rPr>
          <w:rFonts w:ascii="宋体" w:eastAsia="宋体" w:hAnsi="宋体" w:cs="Arial"/>
          <w:b/>
          <w:bCs/>
          <w:color w:val="000000" w:themeColor="text1"/>
          <w:kern w:val="36"/>
          <w:sz w:val="28"/>
          <w:szCs w:val="28"/>
        </w:rPr>
        <w:t>作者:</w:t>
      </w:r>
      <w:r w:rsidRPr="000D5C9A">
        <w:rPr>
          <w:rFonts w:ascii="宋体" w:eastAsia="宋体" w:hAnsi="宋体" w:cs="Arial" w:hint="eastAsia"/>
          <w:b/>
          <w:bCs/>
          <w:color w:val="000000" w:themeColor="text1"/>
          <w:kern w:val="36"/>
          <w:sz w:val="28"/>
          <w:szCs w:val="28"/>
        </w:rPr>
        <w:t xml:space="preserve"> </w:t>
      </w:r>
      <w:r w:rsidRPr="000D5C9A">
        <w:rPr>
          <w:rFonts w:ascii="宋体" w:eastAsia="宋体" w:hAnsi="宋体" w:cs="Arial"/>
          <w:b/>
          <w:bCs/>
          <w:color w:val="000000" w:themeColor="text1"/>
          <w:kern w:val="36"/>
          <w:sz w:val="28"/>
          <w:szCs w:val="28"/>
        </w:rPr>
        <w:t>秦</w:t>
      </w:r>
      <w:r w:rsidRPr="000D5C9A">
        <w:rPr>
          <w:rFonts w:ascii="宋体" w:eastAsia="宋体" w:hAnsi="宋体" w:cs="Arial" w:hint="eastAsia"/>
          <w:b/>
          <w:bCs/>
          <w:color w:val="000000" w:themeColor="text1"/>
          <w:kern w:val="36"/>
          <w:sz w:val="28"/>
          <w:szCs w:val="28"/>
        </w:rPr>
        <w:t xml:space="preserve"> </w:t>
      </w:r>
      <w:r w:rsidRPr="000D5C9A">
        <w:rPr>
          <w:rFonts w:ascii="宋体" w:eastAsia="宋体" w:hAnsi="宋体" w:cs="Arial"/>
          <w:b/>
          <w:bCs/>
          <w:color w:val="000000" w:themeColor="text1"/>
          <w:kern w:val="36"/>
          <w:sz w:val="28"/>
          <w:szCs w:val="28"/>
        </w:rPr>
        <w:t>晖</w:t>
      </w:r>
      <w:r w:rsidR="0014455C">
        <w:rPr>
          <w:rFonts w:cs="Arial" w:hint="eastAsia"/>
          <w:b/>
          <w:color w:val="000000" w:themeColor="text1"/>
        </w:rPr>
        <w:t xml:space="preserve"> </w:t>
      </w:r>
    </w:p>
    <w:p w:rsidR="0014455C" w:rsidRPr="005E7691" w:rsidRDefault="0014455C" w:rsidP="0014455C">
      <w:pPr>
        <w:ind w:firstLineChars="100" w:firstLine="241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  <w:r w:rsidRPr="005E7691">
        <w:rPr>
          <w:rFonts w:ascii="宋体" w:eastAsia="宋体" w:hAnsi="宋体" w:cs="Arial"/>
          <w:b/>
          <w:color w:val="000000" w:themeColor="text1"/>
          <w:sz w:val="24"/>
          <w:szCs w:val="24"/>
        </w:rPr>
        <w:t>清华大学人文社会科学学院历史系教授</w:t>
      </w:r>
      <w:r w:rsidR="005E7691">
        <w:rPr>
          <w:rFonts w:ascii="宋体" w:eastAsia="宋体" w:hAnsi="宋体" w:cs="Arial"/>
          <w:b/>
          <w:color w:val="000000" w:themeColor="text1"/>
          <w:sz w:val="24"/>
          <w:szCs w:val="24"/>
        </w:rPr>
        <w:t>，</w:t>
      </w:r>
      <w:r w:rsidRPr="005E7691">
        <w:rPr>
          <w:rFonts w:ascii="宋体" w:eastAsia="宋体" w:hAnsi="宋体" w:cs="Arial"/>
          <w:b/>
          <w:color w:val="000000" w:themeColor="text1"/>
          <w:sz w:val="24"/>
          <w:szCs w:val="24"/>
        </w:rPr>
        <w:t>博士生导师。著有《南非的启示》《共同的底线》《田园诗与狂想曲》《传统十论》等。</w:t>
      </w:r>
    </w:p>
    <w:p w:rsidR="000D5C9A" w:rsidRPr="0014455C" w:rsidRDefault="000D5C9A" w:rsidP="0014455C">
      <w:pPr>
        <w:rPr>
          <w:rFonts w:ascii="宋体" w:eastAsia="宋体" w:hAnsi="宋体" w:cs="Arial" w:hint="eastAsia"/>
          <w:b/>
          <w:bCs/>
          <w:color w:val="000000" w:themeColor="text1"/>
          <w:kern w:val="36"/>
          <w:sz w:val="28"/>
          <w:szCs w:val="28"/>
        </w:rPr>
      </w:pPr>
      <w:r w:rsidRPr="000D5C9A">
        <w:rPr>
          <w:rFonts w:ascii="宋体" w:eastAsia="宋体" w:hAnsi="宋体" w:cs="Arial"/>
          <w:b/>
          <w:bCs/>
          <w:color w:val="191919"/>
          <w:kern w:val="36"/>
          <w:sz w:val="28"/>
          <w:szCs w:val="28"/>
        </w:rPr>
        <w:t>出版时间:2019年07月</w:t>
      </w:r>
    </w:p>
    <w:p w:rsidR="000D5C9A" w:rsidRDefault="000D5C9A">
      <w:pPr>
        <w:rPr>
          <w:rStyle w:val="a3"/>
          <w:rFonts w:ascii="宋体" w:eastAsia="宋体" w:hAnsi="宋体" w:cs="Arial" w:hint="eastAsia"/>
          <w:color w:val="000000" w:themeColor="text1"/>
          <w:sz w:val="28"/>
          <w:szCs w:val="28"/>
        </w:rPr>
      </w:pPr>
      <w:r w:rsidRPr="000D5C9A">
        <w:rPr>
          <w:rStyle w:val="a3"/>
          <w:rFonts w:ascii="宋体" w:eastAsia="宋体" w:hAnsi="宋体" w:cs="Arial"/>
          <w:color w:val="000000" w:themeColor="text1"/>
          <w:sz w:val="28"/>
          <w:szCs w:val="28"/>
        </w:rPr>
        <w:t>推荐理由：</w:t>
      </w:r>
    </w:p>
    <w:p w:rsidR="000D5C9A" w:rsidRDefault="000D5C9A" w:rsidP="000D5C9A">
      <w:pPr>
        <w:ind w:firstLineChars="100" w:firstLine="241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  <w:r w:rsidRPr="000D5C9A">
        <w:rPr>
          <w:rFonts w:ascii="宋体" w:eastAsia="宋体" w:hAnsi="宋体" w:cs="Arial"/>
          <w:b/>
          <w:color w:val="000000" w:themeColor="text1"/>
          <w:sz w:val="24"/>
          <w:szCs w:val="24"/>
        </w:rPr>
        <w:t>崇祯十六年以前农民战争走向胜利</w:t>
      </w:r>
      <w:r>
        <w:rPr>
          <w:rFonts w:ascii="宋体" w:eastAsia="宋体" w:hAnsi="宋体" w:cs="Arial"/>
          <w:b/>
          <w:color w:val="000000" w:themeColor="text1"/>
          <w:sz w:val="24"/>
          <w:szCs w:val="24"/>
        </w:rPr>
        <w:t>，那么崇祯十七年春</w:t>
      </w:r>
      <w:proofErr w:type="gramStart"/>
      <w:r>
        <w:rPr>
          <w:rFonts w:ascii="宋体" w:eastAsia="宋体" w:hAnsi="宋体" w:cs="Arial"/>
          <w:b/>
          <w:color w:val="000000" w:themeColor="text1"/>
          <w:sz w:val="24"/>
          <w:szCs w:val="24"/>
        </w:rPr>
        <w:t>夏</w:t>
      </w:r>
      <w:r w:rsidRPr="000D5C9A">
        <w:rPr>
          <w:rFonts w:ascii="宋体" w:eastAsia="宋体" w:hAnsi="宋体" w:cs="Arial"/>
          <w:b/>
          <w:color w:val="000000" w:themeColor="text1"/>
          <w:sz w:val="24"/>
          <w:szCs w:val="24"/>
        </w:rPr>
        <w:t>背顺投</w:t>
      </w:r>
      <w:proofErr w:type="gramEnd"/>
      <w:r w:rsidRPr="000D5C9A">
        <w:rPr>
          <w:rFonts w:ascii="宋体" w:eastAsia="宋体" w:hAnsi="宋体" w:cs="Arial"/>
          <w:b/>
          <w:color w:val="000000" w:themeColor="text1"/>
          <w:sz w:val="24"/>
          <w:szCs w:val="24"/>
        </w:rPr>
        <w:t>清，何以会使大顺军一蹶不振？后期大西军政权经济政策的核心——“营庄制度”为何失败？“奉天玉和尚”是谁？李自成真的归隐禅林了吗？“白毛毡”是哪支队伍？极富传奇色彩的李自成谋士李岩确有其人吗？明清交替之际的历史，充满扑朔迷离。本书将这些谜团一一破解，可谓做历史考证学问的一个典范。</w:t>
      </w:r>
    </w:p>
    <w:p w:rsidR="0062786E" w:rsidRDefault="0062786E" w:rsidP="009A706E">
      <w:pPr>
        <w:ind w:firstLineChars="100" w:firstLine="241"/>
        <w:rPr>
          <w:rFonts w:cs="Helvetica" w:hint="eastAsia"/>
          <w:b/>
          <w:color w:val="000000" w:themeColor="text1"/>
        </w:rPr>
      </w:pPr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本书以悲剧做主基调和切入点，个人悲剧和民族悲剧交</w:t>
      </w:r>
      <w:r>
        <w:rPr>
          <w:rFonts w:cs="Helvetica"/>
          <w:b/>
          <w:color w:val="000000" w:themeColor="text1"/>
        </w:rPr>
        <w:t>杂在一起，在一场亘古未有的社会大动荡中，一起合奏成一曲明朝</w:t>
      </w:r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行将衰亡的悲恸挽歌</w:t>
      </w:r>
      <w:r>
        <w:rPr>
          <w:rFonts w:cs="Helvetica"/>
          <w:b/>
          <w:color w:val="000000" w:themeColor="text1"/>
        </w:rPr>
        <w:t>。</w:t>
      </w:r>
    </w:p>
    <w:p w:rsidR="0062786E" w:rsidRPr="0062786E" w:rsidRDefault="0062786E" w:rsidP="0062786E">
      <w:pPr>
        <w:ind w:firstLineChars="100" w:firstLine="241"/>
        <w:rPr>
          <w:rFonts w:ascii="宋体" w:eastAsia="宋体" w:hAnsi="宋体" w:cs="Arial"/>
          <w:b/>
          <w:color w:val="000000" w:themeColor="text1"/>
          <w:sz w:val="28"/>
          <w:szCs w:val="28"/>
        </w:rPr>
      </w:pPr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本书似一幅瑰丽的历史画卷，以新旧交替，民族文化陨落为主笔，个人悲剧和民族悲剧像一抹浓墨重彩游离其间；广阔画布上，阶级矛盾、经济矛盾、民族矛盾错综复杂，千头万绪，剪不断理还乱；千万矛盾激化并行，迸发形形色色人物，以权力、贪婪、忠义、反抗为脸谱，扯着天道二字为大旗，粉墨登场。在波澜壮阔之</w:t>
      </w:r>
      <w:r>
        <w:rPr>
          <w:rFonts w:cs="Helvetica"/>
          <w:b/>
          <w:color w:val="000000" w:themeColor="text1"/>
        </w:rPr>
        <w:t>中显见细微凡人，而运筹帷幄之中，又酝酿着不可预料的风云巨变。读</w:t>
      </w:r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来忽如万马奔腾，忽如山崩地裂，忽如山摇地动，忽如死水微澜，跌宕起伏，爱不释手。</w:t>
      </w:r>
      <w:r>
        <w:rPr>
          <w:rFonts w:cs="Helvetica"/>
          <w:b/>
          <w:color w:val="000000" w:themeColor="text1"/>
        </w:rPr>
        <w:br/>
      </w:r>
      <w:r>
        <w:rPr>
          <w:rFonts w:cs="Helvetica" w:hint="eastAsia"/>
          <w:b/>
          <w:color w:val="000000" w:themeColor="text1"/>
        </w:rPr>
        <w:t xml:space="preserve">   </w:t>
      </w:r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本书并不为追求叙述的通俗易懂而牺牲历史的严肃性和学术性，相反，书中的每个历史事实考证严密，注释到位，每章结尾既有详细的大事日记可供备忘，又有大量数据可供印证，如作者所说“求撰述与记述为一体”、“试图融事件、人物、时间、空间于一体，点面结合、上下流通、深入浅出”，使得本书既可作为一本历史散文来品读，又可作为一本资料翔实的学术资料库来借鉴。</w:t>
      </w:r>
      <w:r>
        <w:rPr>
          <w:rFonts w:cs="Helvetica"/>
          <w:b/>
          <w:color w:val="000000" w:themeColor="text1"/>
        </w:rPr>
        <w:t>本书始终</w:t>
      </w:r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主题鲜明，叙述大开大合，收放自如；文字雅正，</w:t>
      </w:r>
      <w:proofErr w:type="gramStart"/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不</w:t>
      </w:r>
      <w:proofErr w:type="gramEnd"/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媚俗</w:t>
      </w:r>
      <w:proofErr w:type="gramStart"/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不</w:t>
      </w:r>
      <w:proofErr w:type="gramEnd"/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调侃不恶搞，句句有理，字字确凿；文笔清新，生动形象；</w:t>
      </w:r>
      <w:proofErr w:type="gramStart"/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褒贬自</w:t>
      </w:r>
      <w:proofErr w:type="gramEnd"/>
      <w:r w:rsidRPr="005846F4">
        <w:rPr>
          <w:rFonts w:ascii="宋体" w:eastAsia="宋体" w:hAnsi="宋体" w:cs="Helvetica"/>
          <w:b/>
          <w:color w:val="000000" w:themeColor="text1"/>
          <w:sz w:val="24"/>
          <w:szCs w:val="24"/>
        </w:rPr>
        <w:t>明，掷地有声。上述种种，糅合成本书特有的新体正史风范，令人咀嚼如饴，回味无穷。</w:t>
      </w:r>
    </w:p>
    <w:p w:rsidR="0014455C" w:rsidRPr="0062786E" w:rsidRDefault="000D5C9A" w:rsidP="0014455C">
      <w:pPr>
        <w:rPr>
          <w:rStyle w:val="a3"/>
          <w:rFonts w:ascii="宋体" w:eastAsia="宋体" w:hAnsi="宋体" w:cs="Arial" w:hint="eastAsia"/>
          <w:color w:val="000000" w:themeColor="text1"/>
          <w:sz w:val="28"/>
          <w:szCs w:val="28"/>
        </w:rPr>
      </w:pPr>
      <w:r w:rsidRPr="0062786E">
        <w:rPr>
          <w:rStyle w:val="a3"/>
          <w:rFonts w:ascii="宋体" w:eastAsia="宋体" w:hAnsi="宋体" w:cs="Arial"/>
          <w:color w:val="000000" w:themeColor="text1"/>
          <w:sz w:val="28"/>
          <w:szCs w:val="28"/>
        </w:rPr>
        <w:t>作品简介：</w:t>
      </w:r>
    </w:p>
    <w:p w:rsidR="0062786E" w:rsidRDefault="000D5C9A" w:rsidP="0062786E">
      <w:pPr>
        <w:ind w:firstLineChars="100" w:firstLine="241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  <w:r w:rsidRPr="0014455C">
        <w:rPr>
          <w:rFonts w:ascii="宋体" w:eastAsia="宋体" w:hAnsi="宋体" w:cs="Arial"/>
          <w:b/>
          <w:color w:val="000000" w:themeColor="text1"/>
          <w:sz w:val="24"/>
          <w:szCs w:val="24"/>
        </w:rPr>
        <w:t>本书著名历史学者秦晖，以纵向的时间轴论，集中于明末清初；以横向的领域而言，主要从“农民战争与土地制度史”的角度出发，考察几支政治力量的战时策略以及它们之间的角逐。</w:t>
      </w:r>
    </w:p>
    <w:p w:rsidR="0062786E" w:rsidRDefault="0062786E" w:rsidP="0062786E">
      <w:pPr>
        <w:rPr>
          <w:rFonts w:ascii="宋体" w:eastAsia="宋体" w:hAnsi="宋体" w:cs="Arial" w:hint="eastAsia"/>
          <w:b/>
          <w:color w:val="000000" w:themeColor="text1"/>
          <w:sz w:val="28"/>
          <w:szCs w:val="28"/>
        </w:rPr>
      </w:pPr>
      <w:r w:rsidRPr="0062786E">
        <w:rPr>
          <w:rFonts w:ascii="宋体" w:eastAsia="宋体" w:hAnsi="宋体" w:cs="Arial"/>
          <w:b/>
          <w:color w:val="000000" w:themeColor="text1"/>
          <w:sz w:val="28"/>
          <w:szCs w:val="28"/>
        </w:rPr>
        <w:t>全书分为四辑</w:t>
      </w:r>
    </w:p>
    <w:p w:rsidR="0062786E" w:rsidRDefault="0014455C" w:rsidP="0062786E">
      <w:pPr>
        <w:ind w:firstLineChars="100" w:firstLine="211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  <w:r>
        <w:rPr>
          <w:rFonts w:cs="Arial" w:hint="eastAsia"/>
          <w:b/>
          <w:color w:val="000000" w:themeColor="text1"/>
        </w:rPr>
        <w:t>第一</w:t>
      </w:r>
      <w:r w:rsidR="000D5C9A" w:rsidRPr="0014455C">
        <w:rPr>
          <w:rFonts w:ascii="宋体" w:eastAsia="宋体" w:hAnsi="宋体" w:cs="Arial"/>
          <w:b/>
          <w:color w:val="000000" w:themeColor="text1"/>
          <w:sz w:val="24"/>
          <w:szCs w:val="24"/>
        </w:rPr>
        <w:t>辑“从‘联明抗清’到‘南明史’”，从细致入微的考证与逻辑严谨的思辨入手，分析了南明、农民军、清廷三家政权之间的鼎立态势、纠缠关系，及此消彼</w:t>
      </w:r>
      <w:r w:rsidR="0062786E">
        <w:rPr>
          <w:rFonts w:ascii="宋体" w:eastAsia="宋体" w:hAnsi="宋体" w:cs="Arial"/>
          <w:b/>
          <w:color w:val="000000" w:themeColor="text1"/>
          <w:sz w:val="24"/>
          <w:szCs w:val="24"/>
        </w:rPr>
        <w:t>长的形势变化，也分析了包括缙绅阶层在内的各种社会力量之间的互动。</w:t>
      </w:r>
    </w:p>
    <w:p w:rsidR="0062786E" w:rsidRDefault="000D5C9A" w:rsidP="0062786E">
      <w:pPr>
        <w:ind w:firstLineChars="100" w:firstLine="241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  <w:r w:rsidRPr="0014455C">
        <w:rPr>
          <w:rFonts w:ascii="宋体" w:eastAsia="宋体" w:hAnsi="宋体" w:cs="Arial"/>
          <w:b/>
          <w:color w:val="000000" w:themeColor="text1"/>
          <w:sz w:val="24"/>
          <w:szCs w:val="24"/>
        </w:rPr>
        <w:t>第二辑“西南‘国主’政权”，主要着眼于顺治四年占领云南的大</w:t>
      </w:r>
      <w:proofErr w:type="gramStart"/>
      <w:r w:rsidRPr="0014455C">
        <w:rPr>
          <w:rFonts w:ascii="宋体" w:eastAsia="宋体" w:hAnsi="宋体" w:cs="Arial"/>
          <w:b/>
          <w:color w:val="000000" w:themeColor="text1"/>
          <w:sz w:val="24"/>
          <w:szCs w:val="24"/>
        </w:rPr>
        <w:t>西农民</w:t>
      </w:r>
      <w:proofErr w:type="gramEnd"/>
      <w:r w:rsidRPr="0014455C">
        <w:rPr>
          <w:rFonts w:ascii="宋体" w:eastAsia="宋体" w:hAnsi="宋体" w:cs="Arial"/>
          <w:b/>
          <w:color w:val="000000" w:themeColor="text1"/>
          <w:sz w:val="24"/>
          <w:szCs w:val="24"/>
        </w:rPr>
        <w:t>军的活动与制度，分析其经济与政治实践的特点与局限。</w:t>
      </w:r>
    </w:p>
    <w:p w:rsidR="0062786E" w:rsidRDefault="000D5C9A" w:rsidP="0062786E">
      <w:pPr>
        <w:ind w:firstLineChars="100" w:firstLine="241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  <w:r w:rsidRPr="0014455C">
        <w:rPr>
          <w:rFonts w:ascii="宋体" w:eastAsia="宋体" w:hAnsi="宋体" w:cs="Arial"/>
          <w:b/>
          <w:color w:val="000000" w:themeColor="text1"/>
          <w:sz w:val="24"/>
          <w:szCs w:val="24"/>
        </w:rPr>
        <w:lastRenderedPageBreak/>
        <w:t>第三辑“李自成及其余部”</w:t>
      </w:r>
      <w:r w:rsidRPr="00D87F1A">
        <w:rPr>
          <w:rFonts w:ascii="宋体" w:eastAsia="宋体" w:hAnsi="宋体" w:cs="Arial"/>
          <w:b/>
          <w:color w:val="000000" w:themeColor="text1"/>
          <w:sz w:val="24"/>
          <w:szCs w:val="24"/>
        </w:rPr>
        <w:t>，驳斥了李自成禅隐石门夹山的传说，辨析了李自成余部所谓“后明韩主”及“定武政权”的子虚乌有。同时以精彩的考证分析，指出被误认为李自成的“奉天玉和尚”很有可能是明清之际川东的一个军阀——李占春。</w:t>
      </w:r>
    </w:p>
    <w:p w:rsidR="0062786E" w:rsidRDefault="000D5C9A" w:rsidP="0062786E">
      <w:pPr>
        <w:ind w:firstLineChars="100" w:firstLine="241"/>
        <w:rPr>
          <w:rFonts w:ascii="宋体" w:eastAsia="宋体" w:hAnsi="宋体" w:cs="Arial" w:hint="eastAsia"/>
          <w:b/>
          <w:color w:val="000000" w:themeColor="text1"/>
          <w:sz w:val="24"/>
          <w:szCs w:val="24"/>
        </w:rPr>
      </w:pPr>
      <w:r w:rsidRPr="0014455C">
        <w:rPr>
          <w:rFonts w:ascii="宋体" w:eastAsia="宋体" w:hAnsi="宋体" w:cs="Arial"/>
          <w:b/>
          <w:color w:val="000000" w:themeColor="text1"/>
          <w:sz w:val="24"/>
          <w:szCs w:val="24"/>
        </w:rPr>
        <w:t>第四辑探讨了李自成的归宿，追溯了一个被虚构的李自成谋士如何从小说进入史料的过程，评价了崇祯帝的作为，分析了明代中叶的“倭寇”问题。</w:t>
      </w:r>
    </w:p>
    <w:p w:rsidR="005846F4" w:rsidRPr="0062786E" w:rsidRDefault="005846F4" w:rsidP="0062786E">
      <w:pPr>
        <w:ind w:firstLineChars="100" w:firstLine="281"/>
        <w:rPr>
          <w:rFonts w:ascii="宋体" w:eastAsia="宋体" w:hAnsi="宋体" w:cs="Arial"/>
          <w:b/>
          <w:color w:val="000000" w:themeColor="text1"/>
          <w:sz w:val="28"/>
          <w:szCs w:val="28"/>
        </w:rPr>
      </w:pPr>
    </w:p>
    <w:sectPr w:rsidR="005846F4" w:rsidRPr="0062786E" w:rsidSect="00D96E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D5C9A"/>
    <w:rsid w:val="00054744"/>
    <w:rsid w:val="000D5C9A"/>
    <w:rsid w:val="0014455C"/>
    <w:rsid w:val="005846F4"/>
    <w:rsid w:val="005E7691"/>
    <w:rsid w:val="0062786E"/>
    <w:rsid w:val="009A706E"/>
    <w:rsid w:val="00D87F1A"/>
    <w:rsid w:val="00D96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A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D5C9A"/>
    <w:rPr>
      <w:b/>
      <w:bCs/>
    </w:rPr>
  </w:style>
  <w:style w:type="paragraph" w:styleId="a4">
    <w:name w:val="Normal (Web)"/>
    <w:basedOn w:val="a"/>
    <w:uiPriority w:val="99"/>
    <w:unhideWhenUsed/>
    <w:rsid w:val="000D5C9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2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9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550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86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B0DC82-F8D6-447E-8287-4A399C15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626</Words>
  <Characters>627</Characters>
  <Application>Microsoft Office Word</Application>
  <DocSecurity>0</DocSecurity>
  <Lines>23</Lines>
  <Paragraphs>15</Paragraphs>
  <ScaleCrop>false</ScaleCrop>
  <Company>China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2020-01-13T00:20:00Z</dcterms:created>
  <dcterms:modified xsi:type="dcterms:W3CDTF">2020-01-13T02:58:00Z</dcterms:modified>
</cp:coreProperties>
</file>