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24" w:lineRule="atLeast"/>
        <w:ind w:firstLine="1446" w:firstLineChars="400"/>
        <w:jc w:val="both"/>
        <w:rPr>
          <w:rFonts w:hint="eastAsia" w:ascii="宋体" w:hAnsi="宋体"/>
          <w:b/>
          <w:color w:val="000000"/>
          <w:kern w:val="0"/>
          <w:sz w:val="36"/>
          <w:szCs w:val="36"/>
        </w:rPr>
      </w:pPr>
      <w:bookmarkStart w:id="0" w:name="_GoBack"/>
      <w:bookmarkEnd w:id="0"/>
      <w:r>
        <w:rPr>
          <w:rFonts w:hint="eastAsia" w:ascii="宋体" w:hAnsi="宋体"/>
          <w:b/>
          <w:color w:val="000000"/>
          <w:kern w:val="0"/>
          <w:sz w:val="36"/>
          <w:szCs w:val="36"/>
        </w:rPr>
        <w:t>关于实施“导学案”教学的点滴思考</w:t>
      </w:r>
    </w:p>
    <w:p>
      <w:pPr>
        <w:widowControl/>
        <w:spacing w:line="324" w:lineRule="atLeast"/>
        <w:ind w:right="210"/>
        <w:jc w:val="right"/>
        <w:rPr>
          <w:color w:val="000000"/>
          <w:kern w:val="0"/>
          <w:szCs w:val="21"/>
        </w:rPr>
      </w:pPr>
    </w:p>
    <w:p>
      <w:pPr>
        <w:spacing w:line="360" w:lineRule="auto"/>
        <w:ind w:firstLine="470" w:firstLineChars="196"/>
        <w:rPr>
          <w:rFonts w:hint="eastAsia" w:ascii="宋体" w:hAnsi="宋体"/>
          <w:color w:val="000000"/>
          <w:kern w:val="0"/>
          <w:sz w:val="24"/>
        </w:rPr>
      </w:pPr>
      <w:r>
        <w:rPr>
          <w:rFonts w:hint="eastAsia" w:ascii="宋体" w:hAnsi="宋体"/>
          <w:bCs/>
          <w:color w:val="000000"/>
          <w:kern w:val="0"/>
          <w:sz w:val="24"/>
        </w:rPr>
        <w:t>教和学的核心和最终目标就是追求“学习”效益的最大化，</w:t>
      </w:r>
      <w:r>
        <w:rPr>
          <w:rFonts w:hint="eastAsia" w:ascii="宋体" w:hAnsi="宋体"/>
          <w:color w:val="000000"/>
          <w:kern w:val="0"/>
          <w:sz w:val="24"/>
        </w:rPr>
        <w:t>以“导学案”教学模式为载体的</w:t>
      </w:r>
      <w:r>
        <w:rPr>
          <w:rFonts w:hint="eastAsia" w:ascii="宋体" w:hAnsi="宋体"/>
          <w:bCs/>
          <w:color w:val="000000"/>
          <w:kern w:val="0"/>
          <w:sz w:val="24"/>
        </w:rPr>
        <w:t>教和学，</w:t>
      </w:r>
      <w:r>
        <w:rPr>
          <w:rFonts w:hint="eastAsia" w:ascii="宋体" w:hAnsi="宋体"/>
          <w:color w:val="000000"/>
          <w:kern w:val="0"/>
          <w:sz w:val="24"/>
        </w:rPr>
        <w:t>遵循了新课程教学理念，一切为了学生的发展为出发点，关注课堂上教师的“导”，注重学生的“学”，同样也是为提升教学的效益，促进学生的学习与发展。</w:t>
      </w:r>
    </w:p>
    <w:p>
      <w:pPr>
        <w:widowControl/>
        <w:spacing w:line="360" w:lineRule="auto"/>
        <w:ind w:firstLine="480" w:firstLineChars="200"/>
        <w:rPr>
          <w:rFonts w:hint="eastAsia"/>
          <w:color w:val="000000"/>
          <w:kern w:val="0"/>
          <w:sz w:val="24"/>
        </w:rPr>
      </w:pPr>
      <w:r>
        <w:rPr>
          <w:rFonts w:hint="eastAsia" w:ascii="宋体" w:hAnsi="宋体"/>
          <w:color w:val="000000"/>
          <w:kern w:val="0"/>
          <w:sz w:val="24"/>
        </w:rPr>
        <w:t>让“导学案”成为课堂教学的有效载体</w:t>
      </w:r>
      <w:r>
        <w:rPr>
          <w:rFonts w:hint="eastAsia"/>
          <w:color w:val="000000"/>
          <w:kern w:val="0"/>
          <w:sz w:val="24"/>
        </w:rPr>
        <w:t>。</w:t>
      </w:r>
      <w:r>
        <w:rPr>
          <w:rFonts w:hint="eastAsia" w:ascii="宋体" w:hAnsi="宋体"/>
          <w:color w:val="000000"/>
          <w:kern w:val="0"/>
          <w:sz w:val="24"/>
        </w:rPr>
        <w:t>有效教学就是通过有效的教学准备、有效的教学活动和有效的教学评价来促进学生学习与发展的教学，它要求学生在学习过程中充分体现自主性、探究性与合作性，其核心问题就是教学的效益。有效的课堂就是要变“带着知识走向学生”为“带着学生走向知识”的师生共同发展的动态性课堂，有效的课堂就是追求效果、效益、有序的教学，即“在规定的时间里，让学生有收获、有进步和提高，是衡量有效课堂的标准”。实现课堂的有效教学没有一个固定不变的模式，它是一个随着课程目标和教学目标的变化和学生发展变化影响的动态概念。当前，在新课程理念下，“导学案”教学模式已经成为实现课堂有效教学的重要载体。</w:t>
      </w:r>
    </w:p>
    <w:p>
      <w:pPr>
        <w:spacing w:line="360" w:lineRule="auto"/>
        <w:ind w:firstLine="435"/>
        <w:rPr>
          <w:rFonts w:hint="eastAsia"/>
          <w:color w:val="000000"/>
          <w:sz w:val="24"/>
        </w:rPr>
      </w:pPr>
      <w:r>
        <w:rPr>
          <w:rFonts w:hint="eastAsia" w:ascii="宋体" w:hAnsi="宋体"/>
          <w:color w:val="000000"/>
          <w:kern w:val="0"/>
          <w:sz w:val="24"/>
        </w:rPr>
        <w:t>“导学案”教学</w:t>
      </w:r>
      <w:r>
        <w:rPr>
          <w:rFonts w:hint="eastAsia"/>
          <w:color w:val="000000"/>
          <w:sz w:val="24"/>
        </w:rPr>
        <w:t>要从学生的实际出发，来处理教材、选择教法、指导学法，尽力培养学生的主动学习能力，培养学生的科学思维和研究方法，引导学生学会观察、分析，培养学生自主学习探究的精神，以求得学习效益的最大化。</w:t>
      </w:r>
    </w:p>
    <w:p>
      <w:pPr>
        <w:spacing w:line="360" w:lineRule="auto"/>
        <w:ind w:firstLine="470" w:firstLineChars="196"/>
        <w:rPr>
          <w:rFonts w:hint="eastAsia"/>
          <w:color w:val="000000"/>
          <w:sz w:val="24"/>
        </w:rPr>
      </w:pPr>
      <w:r>
        <w:rPr>
          <w:rFonts w:hint="eastAsia" w:ascii="宋体" w:hAnsi="宋体"/>
          <w:color w:val="000000"/>
          <w:kern w:val="0"/>
          <w:sz w:val="24"/>
        </w:rPr>
        <w:t>“导学案”</w:t>
      </w:r>
      <w:r>
        <w:rPr>
          <w:rFonts w:hint="eastAsia"/>
          <w:color w:val="000000"/>
          <w:sz w:val="24"/>
        </w:rPr>
        <w:t>的编写要符合所选择教材的特点。例如现全国物理学科教材有多个版本，如新课标人教版、粤教版、沪科版、江苏版、鲁科版等，每个版本的教材特点不同。不同省份高考的考纲不同，试题的考察侧重点不同。教师备课过程中完全独立编写“导学案”也不很现实，而且现在网络资源十分丰富，每个内容的“导学案”都能够找得到，所以对下载的“导学案”要适当进行选择和改编，使我们课堂所用的“导学案”符合所选教材的特点，符合广东高考、中考的考纲。</w:t>
      </w:r>
    </w:p>
    <w:p>
      <w:pPr>
        <w:spacing w:line="360" w:lineRule="auto"/>
        <w:ind w:firstLine="435"/>
        <w:rPr>
          <w:rFonts w:hint="eastAsia"/>
          <w:color w:val="000000"/>
          <w:sz w:val="24"/>
        </w:rPr>
      </w:pPr>
      <w:r>
        <w:rPr>
          <w:rFonts w:hint="eastAsia"/>
          <w:color w:val="000000"/>
          <w:sz w:val="24"/>
        </w:rPr>
        <w:t>高中粤教版教材的特点是①探究特点的实验多，教材上所呈现的实验，一部分是带有指导性的设计，一部分受到实际情况的制约，并不能完全按照教材的进行，所以学案中要体现对教材的处理，必须自行设计相应的物理实验，尽量高效的完成知识点的教学。②教材的空白点比较多，知识点的概念叙述相比老人教版，部分概念和规律的叙述不是很精炼和确切，还有就是探究实验的结论基本是空白的。针对这些我们编制的“导学案”应该与教材匹配，完善并填补教材的空白。</w:t>
      </w:r>
    </w:p>
    <w:p>
      <w:pPr>
        <w:spacing w:line="360" w:lineRule="auto"/>
        <w:ind w:firstLine="435"/>
        <w:rPr>
          <w:rFonts w:hint="eastAsia"/>
          <w:color w:val="000000"/>
          <w:sz w:val="24"/>
        </w:rPr>
      </w:pPr>
      <w:r>
        <w:rPr>
          <w:rFonts w:hint="eastAsia"/>
          <w:color w:val="000000"/>
          <w:sz w:val="24"/>
        </w:rPr>
        <w:t>“导学案”的编写应符合相关学科的特点。如物理学是一门以实验为基础的科学，教科书中有大量的演示和学生实验。任何一个物理实验现象，都有“因”，有“果”，有物理过程的先后顺序，有实验必须满足的客观条件，有推理有归纳，这些对学生思维的训练很有益处。因此在“导学案”编写及实施过程中，利用中学生对物理实验的浓厚兴趣，逐渐地把他们的兴趣和积极性引领到对物理实验的观察上来。在进行实验前必须引导学生思考清楚：实验的目的是什么，以及相关实验仪器的使用方法，让学生明确为什么要做这个实验，需要怎样进行，以及学生应注意相关问题，以便学生做好观察和实验的思想准备，引导学生顺利准确进入实验的有序操作过程，以达到预期的实验目的。如此循序渐进，不断提高学生对物理实验和自然现象的领悟、分析能力，掌握物理学科的思维特点，形成学科学习能力。</w:t>
      </w:r>
    </w:p>
    <w:p>
      <w:pPr>
        <w:spacing w:line="360" w:lineRule="auto"/>
        <w:ind w:firstLine="480" w:firstLineChars="200"/>
        <w:rPr>
          <w:rFonts w:hint="eastAsia"/>
          <w:color w:val="000000"/>
          <w:sz w:val="24"/>
        </w:rPr>
      </w:pPr>
      <w:r>
        <w:rPr>
          <w:rFonts w:hint="eastAsia"/>
          <w:color w:val="000000"/>
          <w:sz w:val="24"/>
        </w:rPr>
        <w:t>“导学案”应注重引领学生重视对教科书的阅读。“导学案”的实施是以学生的预习为前提的，因此在编写“导学案”时，要引导学生阅读教科书，且不能停留在文字的表面，要善于抓住其丰富的内涵，以利于学生形成良好的阅读习惯。</w:t>
      </w:r>
    </w:p>
    <w:p>
      <w:pPr>
        <w:spacing w:line="360" w:lineRule="auto"/>
        <w:ind w:firstLine="480" w:firstLineChars="200"/>
        <w:rPr>
          <w:rFonts w:hint="eastAsia"/>
          <w:color w:val="000000"/>
          <w:sz w:val="24"/>
        </w:rPr>
      </w:pPr>
      <w:r>
        <w:rPr>
          <w:rFonts w:hint="eastAsia"/>
          <w:color w:val="000000"/>
          <w:sz w:val="24"/>
        </w:rPr>
        <w:t>在编制“导学案”的预习导学的部分时，“问题式”的设计比“填空式”的更有利于启迪学生思考，而问题的设计以递进式逐渐提升为最佳，问题的设计要从学生的角度看教材，</w:t>
      </w:r>
      <w:r>
        <w:rPr>
          <w:rFonts w:hint="eastAsia" w:ascii="宋体" w:hAnsi="宋体"/>
          <w:color w:val="000000"/>
          <w:kern w:val="0"/>
          <w:sz w:val="24"/>
        </w:rPr>
        <w:t>用学生的思维去研究教材，用学生的认识经验去感知教材，充分考虑学生自学过程中可能遇到的思维问题，</w:t>
      </w:r>
      <w:r>
        <w:rPr>
          <w:rFonts w:hint="eastAsia"/>
          <w:color w:val="000000"/>
          <w:sz w:val="24"/>
        </w:rPr>
        <w:t>问题的设计要适合学生思考的特点，</w:t>
      </w:r>
      <w:r>
        <w:rPr>
          <w:rFonts w:hint="eastAsia" w:ascii="宋体" w:hAnsi="宋体"/>
          <w:color w:val="000000"/>
          <w:kern w:val="0"/>
          <w:sz w:val="24"/>
        </w:rPr>
        <w:t>注意问题设计应有层次性、梯度性、渐进性，应根据学生对问题的认识逐渐加深，做到循序渐进，使学生意识到，要解决教师设计的问题不看书不行，看书不看详细也不行，光看书不思考不行，思考不深不透也不行。</w:t>
      </w:r>
      <w:r>
        <w:rPr>
          <w:rFonts w:hint="eastAsia"/>
          <w:color w:val="000000"/>
          <w:sz w:val="24"/>
        </w:rPr>
        <w:t>让学生以“导学案”设计的问题为切入点，阅读中</w:t>
      </w:r>
      <w:r>
        <w:rPr>
          <w:rFonts w:hint="eastAsia" w:ascii="宋体" w:hAnsi="宋体"/>
          <w:color w:val="000000"/>
          <w:kern w:val="0"/>
          <w:sz w:val="24"/>
        </w:rPr>
        <w:t>找到解决问题的方法，</w:t>
      </w:r>
      <w:r>
        <w:rPr>
          <w:rFonts w:hint="eastAsia"/>
          <w:color w:val="000000"/>
          <w:sz w:val="24"/>
        </w:rPr>
        <w:t>吸引学生的注意力，让学生在阅读中读出兴趣、读出自己的能力，</w:t>
      </w:r>
      <w:r>
        <w:rPr>
          <w:rFonts w:hint="eastAsia" w:ascii="宋体" w:hAnsi="宋体"/>
          <w:color w:val="000000"/>
          <w:kern w:val="0"/>
          <w:sz w:val="24"/>
        </w:rPr>
        <w:t>学会看书，学会自学。</w:t>
      </w:r>
    </w:p>
    <w:p>
      <w:pPr>
        <w:spacing w:line="360" w:lineRule="auto"/>
        <w:ind w:firstLine="480" w:firstLineChars="200"/>
        <w:rPr>
          <w:rFonts w:hint="eastAsia" w:ascii="Arial" w:hAnsi="Arial" w:cs="Arial"/>
          <w:color w:val="000000"/>
          <w:kern w:val="0"/>
          <w:sz w:val="24"/>
        </w:rPr>
      </w:pPr>
      <w:r>
        <w:rPr>
          <w:rFonts w:hint="eastAsia" w:ascii="Arial" w:hAnsi="Arial" w:cs="Arial"/>
          <w:color w:val="000000"/>
          <w:kern w:val="0"/>
          <w:sz w:val="24"/>
        </w:rPr>
        <w:t>“导学案”教学实施中存在的问题与困惑。学生没有事先预习完成“导学案”习惯，或者布置的“导学案”预习内容，只有部分同学在规定的时间内能够完成，这样“教”和“学”都到达不到最大效益，反而挤占了当堂达标的时间，导致当堂达标不能按时完成，完不成设计的教学内容；课堂教学应是师生不断“合”、“分”的动态过程，教师在课堂上要实施“主动撤离”和“适时登场”，由于学生的参差不齐，总感觉很难达到和谐统一；由于物理学科的特点，许多学生总感觉物理难学，害怕学习物理，这些学生通过自学很难激发学习兴趣和动力，更谈不上对物理概念的突破和深层感悟。而事实上一个“悟“字才是物理教学和学习的真谛。</w:t>
      </w:r>
    </w:p>
    <w:p>
      <w:pPr>
        <w:spacing w:line="360" w:lineRule="auto"/>
        <w:ind w:firstLine="480" w:firstLineChars="200"/>
        <w:rPr>
          <w:rFonts w:hint="eastAsia" w:ascii="宋体" w:hAnsi="宋体"/>
          <w:color w:val="000000"/>
          <w:kern w:val="0"/>
          <w:sz w:val="24"/>
        </w:rPr>
      </w:pPr>
    </w:p>
    <w:p>
      <w:pPr>
        <w:pStyle w:val="9"/>
        <w:spacing w:before="0" w:beforeAutospacing="0" w:after="0" w:afterAutospacing="0" w:line="240" w:lineRule="atLeast"/>
        <w:jc w:val="center"/>
        <w:rPr>
          <w:rFonts w:hint="eastAsia" w:ascii="华文行楷" w:eastAsia="华文行楷"/>
          <w:b/>
          <w:bCs/>
          <w:sz w:val="30"/>
          <w:szCs w:val="30"/>
        </w:rPr>
      </w:pPr>
    </w:p>
    <w:p>
      <w:pPr>
        <w:tabs>
          <w:tab w:val="left" w:pos="3045"/>
        </w:tabs>
        <w:rPr>
          <w:rFonts w:hint="eastAsia"/>
          <w:szCs w:val="28"/>
        </w:rPr>
      </w:pPr>
    </w:p>
    <w:sectPr>
      <w:footerReference r:id="rId3" w:type="default"/>
      <w:pgSz w:w="11906" w:h="16838"/>
      <w:pgMar w:top="794" w:right="1077" w:bottom="794" w:left="1077" w:header="851" w:footer="51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PAGE   \* MERGEFORMAT</w:instrText>
    </w:r>
    <w:r>
      <w:fldChar w:fldCharType="separate"/>
    </w:r>
    <w:r>
      <w:rPr>
        <w:lang w:val="zh-CN"/>
      </w:rPr>
      <w:t>5</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80C"/>
    <w:rsid w:val="00002C03"/>
    <w:rsid w:val="000153E0"/>
    <w:rsid w:val="0002019F"/>
    <w:rsid w:val="00021D80"/>
    <w:rsid w:val="00040215"/>
    <w:rsid w:val="00061713"/>
    <w:rsid w:val="0009120C"/>
    <w:rsid w:val="000D0AFD"/>
    <w:rsid w:val="000D2701"/>
    <w:rsid w:val="000D4AC1"/>
    <w:rsid w:val="000E6AFC"/>
    <w:rsid w:val="000F3ECC"/>
    <w:rsid w:val="00104B1A"/>
    <w:rsid w:val="00135B12"/>
    <w:rsid w:val="001458B3"/>
    <w:rsid w:val="00153313"/>
    <w:rsid w:val="001700A5"/>
    <w:rsid w:val="00175217"/>
    <w:rsid w:val="0017626E"/>
    <w:rsid w:val="001C0D72"/>
    <w:rsid w:val="001C2830"/>
    <w:rsid w:val="001C31AF"/>
    <w:rsid w:val="001F5911"/>
    <w:rsid w:val="00243F71"/>
    <w:rsid w:val="00285AFC"/>
    <w:rsid w:val="00296951"/>
    <w:rsid w:val="00297A6F"/>
    <w:rsid w:val="002A2B8C"/>
    <w:rsid w:val="002C13D3"/>
    <w:rsid w:val="002C5D40"/>
    <w:rsid w:val="002F300F"/>
    <w:rsid w:val="00311DDD"/>
    <w:rsid w:val="003156C7"/>
    <w:rsid w:val="003749D2"/>
    <w:rsid w:val="00465401"/>
    <w:rsid w:val="00467B47"/>
    <w:rsid w:val="00474EEE"/>
    <w:rsid w:val="004B3ABB"/>
    <w:rsid w:val="004F6B38"/>
    <w:rsid w:val="00514FE7"/>
    <w:rsid w:val="005272EB"/>
    <w:rsid w:val="00531C25"/>
    <w:rsid w:val="00537E30"/>
    <w:rsid w:val="0054515B"/>
    <w:rsid w:val="00562858"/>
    <w:rsid w:val="00587110"/>
    <w:rsid w:val="005A280C"/>
    <w:rsid w:val="005B0686"/>
    <w:rsid w:val="005B4CA5"/>
    <w:rsid w:val="005C6A76"/>
    <w:rsid w:val="005F6CD2"/>
    <w:rsid w:val="006051C1"/>
    <w:rsid w:val="00605D43"/>
    <w:rsid w:val="006222EC"/>
    <w:rsid w:val="0062601D"/>
    <w:rsid w:val="006432AF"/>
    <w:rsid w:val="006552FE"/>
    <w:rsid w:val="00666E9A"/>
    <w:rsid w:val="006753DB"/>
    <w:rsid w:val="006830E8"/>
    <w:rsid w:val="006A0099"/>
    <w:rsid w:val="006A7F2A"/>
    <w:rsid w:val="006C1A50"/>
    <w:rsid w:val="006C4451"/>
    <w:rsid w:val="0071021A"/>
    <w:rsid w:val="00712358"/>
    <w:rsid w:val="00721D41"/>
    <w:rsid w:val="007617C5"/>
    <w:rsid w:val="00771175"/>
    <w:rsid w:val="007713E7"/>
    <w:rsid w:val="007933E5"/>
    <w:rsid w:val="007A3931"/>
    <w:rsid w:val="007E58ED"/>
    <w:rsid w:val="007F4EB0"/>
    <w:rsid w:val="00803D93"/>
    <w:rsid w:val="008128B1"/>
    <w:rsid w:val="00815516"/>
    <w:rsid w:val="008302BE"/>
    <w:rsid w:val="00843993"/>
    <w:rsid w:val="00876043"/>
    <w:rsid w:val="008A467F"/>
    <w:rsid w:val="008C52EA"/>
    <w:rsid w:val="00903ABB"/>
    <w:rsid w:val="00916BC6"/>
    <w:rsid w:val="00986D80"/>
    <w:rsid w:val="009A5AEE"/>
    <w:rsid w:val="009B0C27"/>
    <w:rsid w:val="009D2786"/>
    <w:rsid w:val="00A03ABD"/>
    <w:rsid w:val="00A078C5"/>
    <w:rsid w:val="00A16500"/>
    <w:rsid w:val="00A25A2B"/>
    <w:rsid w:val="00A42DF7"/>
    <w:rsid w:val="00A5318B"/>
    <w:rsid w:val="00A61C9B"/>
    <w:rsid w:val="00AA0930"/>
    <w:rsid w:val="00AA0EFA"/>
    <w:rsid w:val="00AA5DC6"/>
    <w:rsid w:val="00AE7696"/>
    <w:rsid w:val="00AF32AB"/>
    <w:rsid w:val="00B11049"/>
    <w:rsid w:val="00B253CF"/>
    <w:rsid w:val="00B30BE6"/>
    <w:rsid w:val="00B554D8"/>
    <w:rsid w:val="00B614FE"/>
    <w:rsid w:val="00B64EE3"/>
    <w:rsid w:val="00B700CD"/>
    <w:rsid w:val="00B7653D"/>
    <w:rsid w:val="00BD5C67"/>
    <w:rsid w:val="00BF50D8"/>
    <w:rsid w:val="00C0471E"/>
    <w:rsid w:val="00C11EE1"/>
    <w:rsid w:val="00C21DF3"/>
    <w:rsid w:val="00C2715C"/>
    <w:rsid w:val="00C3676F"/>
    <w:rsid w:val="00C531FF"/>
    <w:rsid w:val="00C742F4"/>
    <w:rsid w:val="00CA4DA3"/>
    <w:rsid w:val="00CA6F09"/>
    <w:rsid w:val="00CB1D95"/>
    <w:rsid w:val="00CF0529"/>
    <w:rsid w:val="00CF50BF"/>
    <w:rsid w:val="00D05220"/>
    <w:rsid w:val="00D13F25"/>
    <w:rsid w:val="00D154E9"/>
    <w:rsid w:val="00D34DD7"/>
    <w:rsid w:val="00D42576"/>
    <w:rsid w:val="00D46200"/>
    <w:rsid w:val="00D46E57"/>
    <w:rsid w:val="00D916C7"/>
    <w:rsid w:val="00DB0E57"/>
    <w:rsid w:val="00DD3A3B"/>
    <w:rsid w:val="00E05736"/>
    <w:rsid w:val="00E12BBC"/>
    <w:rsid w:val="00E22B73"/>
    <w:rsid w:val="00E22C29"/>
    <w:rsid w:val="00E96827"/>
    <w:rsid w:val="00EF71F5"/>
    <w:rsid w:val="00F073E5"/>
    <w:rsid w:val="00F115CB"/>
    <w:rsid w:val="00F25961"/>
    <w:rsid w:val="00F53E7C"/>
    <w:rsid w:val="00F91D84"/>
    <w:rsid w:val="00F94C1B"/>
    <w:rsid w:val="00FA6493"/>
    <w:rsid w:val="00FB249A"/>
    <w:rsid w:val="00FD783A"/>
    <w:rsid w:val="00FE64AF"/>
    <w:rsid w:val="00FF326E"/>
    <w:rsid w:val="0AB54673"/>
    <w:rsid w:val="22503030"/>
    <w:rsid w:val="42AA1A34"/>
    <w:rsid w:val="55823607"/>
    <w:rsid w:val="7C5B68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9"/>
    <w:qFormat/>
    <w:uiPriority w:val="9"/>
    <w:pPr>
      <w:keepNext/>
      <w:keepLines/>
      <w:widowControl/>
      <w:spacing w:before="480" w:line="276" w:lineRule="auto"/>
      <w:jc w:val="left"/>
      <w:outlineLvl w:val="0"/>
    </w:pPr>
    <w:rPr>
      <w:rFonts w:ascii="Cambria" w:hAnsi="Cambria" w:eastAsia="宋体" w:cs="Times New Roman"/>
      <w:b/>
      <w:bCs/>
      <w:color w:val="365F91"/>
      <w:kern w:val="0"/>
      <w:sz w:val="28"/>
      <w:szCs w:val="28"/>
    </w:rPr>
  </w:style>
  <w:style w:type="character" w:default="1" w:styleId="12">
    <w:name w:val="Default Paragraph Font"/>
    <w:unhideWhenUsed/>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Body Text Indent"/>
    <w:basedOn w:val="1"/>
    <w:uiPriority w:val="0"/>
    <w:pPr>
      <w:ind w:firstLine="360" w:firstLineChars="200"/>
    </w:pPr>
    <w:rPr>
      <w:rFonts w:ascii="Times New Roman" w:hAnsi="Times New Roman"/>
      <w:sz w:val="18"/>
      <w:szCs w:val="24"/>
    </w:rPr>
  </w:style>
  <w:style w:type="paragraph" w:styleId="4">
    <w:name w:val="Plain Text"/>
    <w:basedOn w:val="1"/>
    <w:uiPriority w:val="0"/>
    <w:rPr>
      <w:rFonts w:ascii="宋体" w:hAnsi="Courier New" w:cs="Courier New"/>
      <w:szCs w:val="21"/>
    </w:rPr>
  </w:style>
  <w:style w:type="paragraph" w:styleId="5">
    <w:name w:val="Body Text Indent 2"/>
    <w:basedOn w:val="1"/>
    <w:uiPriority w:val="0"/>
    <w:pPr>
      <w:spacing w:line="240" w:lineRule="atLeast"/>
      <w:ind w:firstLine="420" w:firstLineChars="200"/>
    </w:pPr>
    <w:rPr>
      <w:rFonts w:ascii="Times New Roman" w:hAnsi="Times New Roman"/>
      <w:szCs w:val="24"/>
    </w:rPr>
  </w:style>
  <w:style w:type="paragraph" w:styleId="6">
    <w:name w:val="Balloon Text"/>
    <w:basedOn w:val="1"/>
    <w:link w:val="20"/>
    <w:unhideWhenUsed/>
    <w:uiPriority w:val="99"/>
    <w:rPr>
      <w:sz w:val="18"/>
      <w:szCs w:val="18"/>
    </w:rPr>
  </w:style>
  <w:style w:type="paragraph" w:styleId="7">
    <w:name w:val="footer"/>
    <w:basedOn w:val="1"/>
    <w:link w:val="21"/>
    <w:unhideWhenUsed/>
    <w:uiPriority w:val="99"/>
    <w:pPr>
      <w:tabs>
        <w:tab w:val="center" w:pos="4153"/>
        <w:tab w:val="right" w:pos="8306"/>
      </w:tabs>
      <w:snapToGrid w:val="0"/>
      <w:jc w:val="left"/>
    </w:pPr>
    <w:rPr>
      <w:sz w:val="18"/>
      <w:szCs w:val="18"/>
    </w:rPr>
  </w:style>
  <w:style w:type="paragraph" w:styleId="8">
    <w:name w:val="header"/>
    <w:basedOn w:val="1"/>
    <w:link w:val="18"/>
    <w:unhideWhenUsed/>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iPriority w:val="0"/>
    <w:pPr>
      <w:widowControl/>
      <w:spacing w:before="100" w:beforeAutospacing="1" w:after="100" w:afterAutospacing="1"/>
      <w:jc w:val="left"/>
    </w:pPr>
    <w:rPr>
      <w:rFonts w:ascii="宋体" w:hAnsi="宋体" w:cs="宋体"/>
      <w:kern w:val="0"/>
      <w:sz w:val="24"/>
      <w:szCs w:val="24"/>
    </w:r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qFormat/>
    <w:uiPriority w:val="0"/>
    <w:rPr>
      <w:b/>
      <w:bCs/>
    </w:rPr>
  </w:style>
  <w:style w:type="character" w:styleId="14">
    <w:name w:val="page number"/>
    <w:basedOn w:val="12"/>
    <w:uiPriority w:val="0"/>
  </w:style>
  <w:style w:type="character" w:styleId="15">
    <w:name w:val="Hyperlink"/>
    <w:unhideWhenUsed/>
    <w:uiPriority w:val="99"/>
    <w:rPr>
      <w:color w:val="0000FF"/>
      <w:u w:val="single"/>
    </w:rPr>
  </w:style>
  <w:style w:type="paragraph" w:customStyle="1" w:styleId="16">
    <w:name w:val="MTDisplayEquation"/>
    <w:basedOn w:val="1"/>
    <w:next w:val="1"/>
    <w:uiPriority w:val="0"/>
    <w:pPr>
      <w:tabs>
        <w:tab w:val="center" w:pos="4820"/>
        <w:tab w:val="right" w:pos="9640"/>
      </w:tabs>
    </w:pPr>
    <w:rPr>
      <w:rFonts w:ascii="Times New Roman" w:hAnsi="Times New Roman"/>
      <w:szCs w:val="24"/>
    </w:rPr>
  </w:style>
  <w:style w:type="paragraph" w:customStyle="1" w:styleId="17">
    <w:name w:val="_Style 7"/>
    <w:basedOn w:val="1"/>
    <w:uiPriority w:val="0"/>
    <w:pPr>
      <w:widowControl/>
      <w:spacing w:line="300" w:lineRule="auto"/>
      <w:ind w:firstLine="200" w:firstLineChars="200"/>
    </w:pPr>
    <w:rPr>
      <w:rFonts w:ascii="Verdana" w:hAnsi="Verdana"/>
      <w:kern w:val="0"/>
      <w:szCs w:val="20"/>
      <w:lang w:eastAsia="en-US"/>
    </w:rPr>
  </w:style>
  <w:style w:type="character" w:customStyle="1" w:styleId="18">
    <w:name w:val="页眉 Char"/>
    <w:link w:val="8"/>
    <w:uiPriority w:val="99"/>
    <w:rPr>
      <w:sz w:val="18"/>
      <w:szCs w:val="18"/>
    </w:rPr>
  </w:style>
  <w:style w:type="character" w:customStyle="1" w:styleId="19">
    <w:name w:val="标题 1 Char"/>
    <w:link w:val="2"/>
    <w:uiPriority w:val="9"/>
    <w:rPr>
      <w:rFonts w:ascii="Cambria" w:hAnsi="Cambria" w:eastAsia="宋体" w:cs="Times New Roman"/>
      <w:b/>
      <w:bCs/>
      <w:color w:val="365F91"/>
      <w:kern w:val="0"/>
      <w:sz w:val="28"/>
      <w:szCs w:val="28"/>
    </w:rPr>
  </w:style>
  <w:style w:type="character" w:customStyle="1" w:styleId="20">
    <w:name w:val="批注框文本 Char"/>
    <w:link w:val="6"/>
    <w:semiHidden/>
    <w:uiPriority w:val="99"/>
    <w:rPr>
      <w:sz w:val="18"/>
      <w:szCs w:val="18"/>
    </w:rPr>
  </w:style>
  <w:style w:type="character" w:customStyle="1" w:styleId="21">
    <w:name w:val="页脚 Char"/>
    <w:link w:val="7"/>
    <w:uiPriority w:val="99"/>
    <w:rPr>
      <w:sz w:val="18"/>
      <w:szCs w:val="18"/>
    </w:rPr>
  </w:style>
  <w:style w:type="character" w:customStyle="1" w:styleId="22">
    <w:name w:val="p141"/>
    <w:uiPriority w:val="0"/>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北京今日学易科技有限公司(Zxxk.Com)</Company>
  <Pages>5</Pages>
  <Words>898</Words>
  <Characters>5123</Characters>
  <Lines>42</Lines>
  <Paragraphs>12</Paragraphs>
  <TotalTime>0</TotalTime>
  <ScaleCrop>false</ScaleCrop>
  <LinksUpToDate>false</LinksUpToDate>
  <CharactersWithSpaces>6009</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学科网WORD文档</cp:category>
  <dcterms:created xsi:type="dcterms:W3CDTF">2009-04-04T03:59:00Z</dcterms:created>
  <dc:creator>学科网(Zxxk.Com)</dc:creator>
  <dc:description>学科网(www.zxxk.com)--教育资源门户，提供试卷、教案、课件、论文、素材及各类教学资源下载，还有大量而丰富的教学相关资讯！</dc:description>
  <cp:keywords>试卷、教案、课件、论文、素材</cp:keywords>
  <cp:lastModifiedBy>Qu Xue-Hua</cp:lastModifiedBy>
  <cp:lastPrinted>2009-04-02T01:33:00Z</cp:lastPrinted>
  <dcterms:modified xsi:type="dcterms:W3CDTF">2020-01-14T07:10:51Z</dcterms:modified>
  <dc:subject>物理：粤教版 选修3-3 1.1 物体是由大量分子组成的 （同步练习）.doc</dc:subject>
  <dc:title>物理：粤教版 选修3-3 1.1 物体是由大量分子组成的 （同步练习）.doc</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来源">
    <vt:lpwstr>学科网(Zxxk.Com)</vt:lpwstr>
  </property>
  <property fmtid="{D5CDD505-2E9C-101B-9397-08002B2CF9AE}" pid="3" name="网址">
    <vt:lpwstr>http://www.zxxk.com</vt:lpwstr>
  </property>
  <property fmtid="{D5CDD505-2E9C-101B-9397-08002B2CF9AE}" pid="4" name="所有者">
    <vt:lpwstr>北京今日学易科技有限公司</vt:lpwstr>
  </property>
  <property fmtid="{D5CDD505-2E9C-101B-9397-08002B2CF9AE}" pid="5" name="KSOProductBuildVer">
    <vt:lpwstr>2052-11.1.0.9339</vt:lpwstr>
  </property>
</Properties>
</file>