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5"/>
        <w:tblpPr w:leftFromText="180" w:rightFromText="180" w:vertAnchor="page" w:horzAnchor="margin" w:tblpY="1632"/>
        <w:tblOverlap w:val="never"/>
        <w:tblW w:w="104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68"/>
        <w:gridCol w:w="2880"/>
        <w:gridCol w:w="3060"/>
        <w:gridCol w:w="31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8" w:type="dxa"/>
          </w:tcPr>
          <w:p>
            <w:pPr>
              <w:rPr>
                <w:rFonts w:hint="eastAsia" w:ascii="宋体" w:hAnsi="宋体" w:eastAsia="宋体"/>
                <w:sz w:val="24"/>
                <w:szCs w:val="24"/>
              </w:rPr>
            </w:pPr>
            <w:r>
              <w:rPr>
                <w:rFonts w:hint="eastAsia" w:ascii="宋体" w:hAnsi="宋体" w:eastAsia="宋体"/>
                <w:sz w:val="24"/>
                <w:szCs w:val="24"/>
              </w:rPr>
              <w:t>评议人</w:t>
            </w:r>
          </w:p>
          <w:p>
            <w:pPr>
              <w:rPr>
                <w:rFonts w:hint="eastAsia" w:ascii="宋体" w:hAnsi="宋体" w:eastAsia="宋体"/>
                <w:sz w:val="24"/>
                <w:szCs w:val="24"/>
              </w:rPr>
            </w:pPr>
          </w:p>
        </w:tc>
        <w:tc>
          <w:tcPr>
            <w:tcW w:w="2880" w:type="dxa"/>
          </w:tcPr>
          <w:p>
            <w:pPr>
              <w:rPr>
                <w:rFonts w:hint="eastAsia" w:ascii="宋体" w:hAnsi="宋体" w:eastAsia="宋体"/>
                <w:sz w:val="24"/>
                <w:szCs w:val="24"/>
                <w:lang w:eastAsia="zh-CN"/>
              </w:rPr>
            </w:pPr>
            <w:r>
              <w:rPr>
                <w:rFonts w:hint="eastAsia" w:ascii="宋体" w:hAnsi="宋体" w:eastAsia="宋体"/>
                <w:sz w:val="24"/>
                <w:szCs w:val="24"/>
              </w:rPr>
              <w:t>执教老师：</w:t>
            </w:r>
            <w:r>
              <w:rPr>
                <w:rFonts w:hint="eastAsia" w:ascii="宋体" w:hAnsi="宋体" w:eastAsia="宋体"/>
                <w:sz w:val="24"/>
                <w:szCs w:val="24"/>
                <w:lang w:val="en-US" w:eastAsia="zh-CN"/>
              </w:rPr>
              <w:t>唐思琪</w:t>
            </w:r>
          </w:p>
        </w:tc>
        <w:tc>
          <w:tcPr>
            <w:tcW w:w="3060" w:type="dxa"/>
          </w:tcPr>
          <w:p>
            <w:pPr>
              <w:rPr>
                <w:rFonts w:hint="eastAsia" w:ascii="宋体" w:hAnsi="宋体" w:eastAsia="宋体"/>
                <w:sz w:val="24"/>
                <w:szCs w:val="24"/>
              </w:rPr>
            </w:pPr>
            <w:r>
              <w:rPr>
                <w:rFonts w:hint="eastAsia" w:ascii="宋体" w:hAnsi="宋体" w:eastAsia="宋体"/>
                <w:sz w:val="24"/>
                <w:szCs w:val="24"/>
              </w:rPr>
              <w:t>时间：20</w:t>
            </w:r>
            <w:r>
              <w:rPr>
                <w:rFonts w:hint="eastAsia" w:ascii="宋体" w:hAnsi="宋体" w:eastAsia="宋体"/>
                <w:sz w:val="24"/>
                <w:szCs w:val="24"/>
                <w:lang w:val="en-US" w:eastAsia="zh-CN"/>
              </w:rPr>
              <w:t>20</w:t>
            </w:r>
            <w:r>
              <w:rPr>
                <w:rFonts w:hint="eastAsia" w:ascii="宋体" w:hAnsi="宋体" w:eastAsia="宋体"/>
                <w:sz w:val="24"/>
                <w:szCs w:val="24"/>
              </w:rPr>
              <w:t>年</w:t>
            </w:r>
            <w:r>
              <w:rPr>
                <w:rFonts w:hint="eastAsia" w:ascii="宋体" w:hAnsi="宋体" w:eastAsia="宋体"/>
                <w:sz w:val="24"/>
                <w:szCs w:val="24"/>
                <w:lang w:val="en-US" w:eastAsia="zh-CN"/>
              </w:rPr>
              <w:t>6月</w:t>
            </w:r>
          </w:p>
        </w:tc>
        <w:tc>
          <w:tcPr>
            <w:tcW w:w="3112" w:type="dxa"/>
          </w:tcPr>
          <w:p>
            <w:pPr>
              <w:rPr>
                <w:rFonts w:hint="default" w:ascii="宋体" w:hAnsi="宋体" w:eastAsia="宋体"/>
                <w:sz w:val="24"/>
                <w:szCs w:val="24"/>
                <w:lang w:val="en-US" w:eastAsia="zh-CN"/>
              </w:rPr>
            </w:pPr>
            <w:r>
              <w:rPr>
                <w:rFonts w:hint="eastAsia" w:ascii="宋体" w:hAnsi="宋体" w:eastAsia="宋体"/>
                <w:sz w:val="24"/>
                <w:szCs w:val="24"/>
              </w:rPr>
              <w:t>学科主题：</w:t>
            </w:r>
            <w:r>
              <w:rPr>
                <w:rFonts w:hint="eastAsia" w:ascii="宋体" w:hAnsi="宋体" w:eastAsia="宋体"/>
                <w:sz w:val="24"/>
                <w:szCs w:val="24"/>
                <w:lang w:val="en-US" w:eastAsia="zh-CN"/>
              </w:rPr>
              <w:t xml:space="preserve">中考阅读理解之猜词解题技巧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 w:hRule="atLeast"/>
        </w:trPr>
        <w:tc>
          <w:tcPr>
            <w:tcW w:w="1368" w:type="dxa"/>
            <w:vMerge w:val="restart"/>
          </w:tcPr>
          <w:p>
            <w:pPr>
              <w:rPr>
                <w:rFonts w:hint="eastAsia" w:ascii="宋体" w:hAnsi="宋体" w:eastAsia="宋体"/>
                <w:sz w:val="24"/>
                <w:szCs w:val="24"/>
              </w:rPr>
            </w:pPr>
            <w:r>
              <w:rPr>
                <w:rFonts w:hint="eastAsia" w:ascii="宋体" w:hAnsi="宋体" w:eastAsia="宋体"/>
                <w:sz w:val="24"/>
                <w:szCs w:val="24"/>
              </w:rPr>
              <w:t>黄锦蓉</w:t>
            </w:r>
          </w:p>
        </w:tc>
        <w:tc>
          <w:tcPr>
            <w:tcW w:w="9052" w:type="dxa"/>
            <w:gridSpan w:val="3"/>
          </w:tcPr>
          <w:p>
            <w:pPr>
              <w:spacing w:line="360" w:lineRule="exact"/>
              <w:rPr>
                <w:rFonts w:hint="default" w:ascii="宋体" w:hAnsi="宋体" w:eastAsia="宋体"/>
                <w:sz w:val="24"/>
                <w:szCs w:val="24"/>
                <w:lang w:val="en-US" w:eastAsia="zh-CN"/>
              </w:rPr>
            </w:pPr>
            <w:r>
              <w:rPr>
                <w:rFonts w:hint="eastAsia" w:ascii="宋体" w:hAnsi="宋体" w:eastAsia="宋体"/>
                <w:b/>
                <w:sz w:val="24"/>
                <w:szCs w:val="24"/>
              </w:rPr>
              <w:t>亮点：</w:t>
            </w:r>
            <w:r>
              <w:rPr>
                <w:rFonts w:hint="eastAsia" w:ascii="宋体" w:hAnsi="宋体" w:eastAsia="宋体"/>
                <w:bCs/>
                <w:color w:val="000000"/>
                <w:sz w:val="24"/>
                <w:szCs w:val="24"/>
                <w:lang w:val="en-US" w:eastAsia="zh-CN"/>
              </w:rPr>
              <w:t>贴近中考，要求学生将掌握的方法用于解题实践，培养学生思维的灵活性、流畅性、开发学生智力、培养学生能力的同时也提高学生解题方法的水平。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 w:hRule="atLeast"/>
        </w:trPr>
        <w:tc>
          <w:tcPr>
            <w:tcW w:w="1368" w:type="dxa"/>
            <w:vMerge w:val="continue"/>
          </w:tcPr>
          <w:p>
            <w:pPr>
              <w:rPr>
                <w:rFonts w:hint="eastAsia" w:ascii="宋体" w:hAnsi="宋体" w:eastAsia="宋体" w:cs="Times New Roman"/>
                <w:sz w:val="24"/>
                <w:szCs w:val="24"/>
              </w:rPr>
            </w:pPr>
          </w:p>
        </w:tc>
        <w:tc>
          <w:tcPr>
            <w:tcW w:w="9052" w:type="dxa"/>
            <w:gridSpan w:val="3"/>
          </w:tcPr>
          <w:p>
            <w:pPr>
              <w:spacing w:line="360" w:lineRule="exact"/>
              <w:rPr>
                <w:rFonts w:hint="default" w:ascii="宋体" w:hAnsi="宋体" w:eastAsia="宋体" w:cs="Times New Roman"/>
                <w:sz w:val="24"/>
                <w:szCs w:val="24"/>
                <w:lang w:val="en-US" w:eastAsia="zh-CN"/>
              </w:rPr>
            </w:pPr>
            <w:r>
              <w:rPr>
                <w:rFonts w:hint="eastAsia" w:ascii="宋体" w:hAnsi="宋体" w:eastAsia="宋体"/>
                <w:b/>
                <w:sz w:val="24"/>
                <w:szCs w:val="24"/>
                <w:lang w:val="en-US" w:eastAsia="zh-CN"/>
              </w:rPr>
              <w:t>建议</w:t>
            </w:r>
            <w:r>
              <w:rPr>
                <w:rFonts w:hint="eastAsia" w:ascii="宋体" w:hAnsi="宋体" w:eastAsia="宋体"/>
                <w:b/>
                <w:sz w:val="24"/>
                <w:szCs w:val="24"/>
              </w:rPr>
              <w:t>：</w:t>
            </w:r>
            <w:r>
              <w:rPr>
                <w:rFonts w:hint="default" w:ascii="宋体" w:hAnsi="宋体" w:eastAsia="宋体"/>
                <w:b w:val="0"/>
                <w:bCs/>
                <w:sz w:val="24"/>
                <w:szCs w:val="24"/>
                <w:lang w:val="en-US" w:eastAsia="zh-CN"/>
              </w:rPr>
              <w:t>可以再给课堂留白一点点，内容有点多，另外就是也可以让学生自己收集一下平时练习中猜词的一些困难和不容易完成的猜词题，拿到课堂上，大家可以讨论一下；第二就是，对于一些策略的归纳，可以由学生讨论之后自己得出结果</w:t>
            </w:r>
            <w:r>
              <w:rPr>
                <w:rFonts w:hint="eastAsia" w:ascii="宋体" w:hAnsi="宋体" w:eastAsia="宋体"/>
                <w:b w:val="0"/>
                <w:bCs/>
                <w:sz w:val="24"/>
                <w:szCs w:val="24"/>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 w:hRule="atLeast"/>
        </w:trPr>
        <w:tc>
          <w:tcPr>
            <w:tcW w:w="1368" w:type="dxa"/>
            <w:vMerge w:val="continue"/>
          </w:tcPr>
          <w:p>
            <w:pPr>
              <w:rPr>
                <w:rFonts w:hint="eastAsia" w:ascii="宋体" w:hAnsi="宋体" w:eastAsia="宋体" w:cs="Times New Roman"/>
                <w:sz w:val="24"/>
                <w:szCs w:val="24"/>
              </w:rPr>
            </w:pPr>
          </w:p>
        </w:tc>
        <w:tc>
          <w:tcPr>
            <w:tcW w:w="9052" w:type="dxa"/>
            <w:gridSpan w:val="3"/>
          </w:tcPr>
          <w:p>
            <w:pPr>
              <w:spacing w:line="360" w:lineRule="exact"/>
              <w:ind w:firstLine="480" w:firstLineChars="200"/>
              <w:rPr>
                <w:rFonts w:hint="default" w:ascii="宋体" w:hAnsi="宋体" w:eastAsia="宋体"/>
                <w:b/>
                <w:sz w:val="24"/>
                <w:szCs w:val="24"/>
                <w:lang w:val="en-US" w:eastAsia="zh-CN"/>
              </w:rPr>
            </w:pPr>
            <w:r>
              <w:rPr>
                <w:rFonts w:hint="default" w:ascii="宋体" w:hAnsi="宋体" w:eastAsia="宋体"/>
                <w:b w:val="0"/>
                <w:bCs/>
                <w:sz w:val="24"/>
                <w:szCs w:val="24"/>
                <w:lang w:val="en-US" w:eastAsia="zh-CN"/>
              </w:rPr>
              <w:t>思琪这节课对初三备考阶段阅读中的猜词题的解题技能的提升是有很大的作用。唐老师语言基本功很扎实，今天又用了演绎-归纳-再演绎的方法，把猜词的4个策略呈现的很到位，学生在课堂上与老师的互动也比较好，找的一些例句难度适中，甚至有一些还有一定难度，对学生的中考指导是很有效。</w:t>
            </w:r>
            <w:r>
              <w:rPr>
                <w:rFonts w:hint="eastAsia" w:ascii="宋体" w:hAnsi="宋体" w:eastAsia="宋体"/>
                <w:b w:val="0"/>
                <w:bCs/>
                <w:sz w:val="24"/>
                <w:szCs w:val="24"/>
                <w:lang w:val="en-US" w:eastAsia="zh-CN"/>
              </w:rPr>
              <w:t>这节课上得很成功，学生们上课的积极性和参与率比较高，老师提供了丰富的内容，在整个教学过程中给予了学生较中分的自主探究机会，让学生在思考中总结解题规律。</w:t>
            </w:r>
          </w:p>
        </w:tc>
      </w:tr>
    </w:tbl>
    <w:p>
      <w:pPr>
        <w:jc w:val="center"/>
        <w:rPr>
          <w:rFonts w:hint="eastAsia" w:ascii="宋体" w:hAnsi="宋体" w:eastAsia="宋体" w:cs="Times New Roman"/>
          <w:b/>
          <w:sz w:val="24"/>
          <w:szCs w:val="24"/>
          <w:lang w:val="en-US" w:eastAsia="zh-CN"/>
        </w:rPr>
      </w:pPr>
      <w:r>
        <w:rPr>
          <w:rFonts w:hint="eastAsia" w:ascii="宋体" w:hAnsi="宋体" w:eastAsia="宋体" w:cs="Times New Roman"/>
          <w:b/>
          <w:sz w:val="24"/>
          <w:szCs w:val="24"/>
          <w:lang w:val="en-US" w:eastAsia="zh-CN"/>
        </w:rPr>
        <w:t>2019-2020 下学期评课稿</w:t>
      </w:r>
    </w:p>
    <w:tbl>
      <w:tblPr>
        <w:tblStyle w:val="5"/>
        <w:tblpPr w:leftFromText="180" w:rightFromText="180" w:vertAnchor="page" w:horzAnchor="margin" w:tblpY="1632"/>
        <w:tblOverlap w:val="never"/>
        <w:tblW w:w="104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68"/>
        <w:gridCol w:w="2880"/>
        <w:gridCol w:w="3060"/>
        <w:gridCol w:w="31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8" w:type="dxa"/>
          </w:tcPr>
          <w:p>
            <w:pPr>
              <w:rPr>
                <w:rFonts w:hint="eastAsia" w:ascii="宋体" w:hAnsi="宋体" w:eastAsia="宋体" w:cs="Times New Roman"/>
                <w:sz w:val="24"/>
                <w:szCs w:val="24"/>
              </w:rPr>
            </w:pPr>
            <w:r>
              <w:rPr>
                <w:rFonts w:hint="eastAsia" w:ascii="宋体" w:hAnsi="宋体" w:eastAsia="宋体" w:cs="Times New Roman"/>
                <w:sz w:val="24"/>
                <w:szCs w:val="24"/>
              </w:rPr>
              <w:t>评议人</w:t>
            </w:r>
          </w:p>
          <w:p>
            <w:pPr>
              <w:rPr>
                <w:rFonts w:hint="eastAsia" w:ascii="宋体" w:hAnsi="宋体" w:eastAsia="宋体" w:cs="Times New Roman"/>
                <w:sz w:val="24"/>
                <w:szCs w:val="24"/>
              </w:rPr>
            </w:pPr>
          </w:p>
        </w:tc>
        <w:tc>
          <w:tcPr>
            <w:tcW w:w="2880" w:type="dxa"/>
          </w:tcPr>
          <w:p>
            <w:pPr>
              <w:rPr>
                <w:rFonts w:hint="eastAsia" w:ascii="宋体" w:hAnsi="宋体" w:eastAsia="宋体" w:cs="Times New Roman"/>
                <w:sz w:val="24"/>
                <w:szCs w:val="24"/>
              </w:rPr>
            </w:pPr>
            <w:r>
              <w:rPr>
                <w:rFonts w:hint="eastAsia" w:ascii="宋体" w:hAnsi="宋体" w:eastAsia="宋体" w:cs="Times New Roman"/>
                <w:sz w:val="24"/>
                <w:szCs w:val="24"/>
              </w:rPr>
              <w:t>执教老师：</w:t>
            </w:r>
            <w:r>
              <w:rPr>
                <w:rFonts w:hint="eastAsia" w:ascii="宋体" w:hAnsi="宋体" w:eastAsia="宋体" w:cs="Times New Roman"/>
                <w:sz w:val="24"/>
                <w:szCs w:val="24"/>
                <w:lang w:val="en-US" w:eastAsia="zh-CN"/>
              </w:rPr>
              <w:t>王橙橙</w:t>
            </w:r>
            <w:r>
              <w:rPr>
                <w:rFonts w:hint="eastAsia" w:ascii="宋体" w:hAnsi="宋体" w:eastAsia="宋体" w:cs="Times New Roman"/>
                <w:sz w:val="24"/>
                <w:szCs w:val="24"/>
              </w:rPr>
              <w:t xml:space="preserve">                 </w:t>
            </w:r>
          </w:p>
        </w:tc>
        <w:tc>
          <w:tcPr>
            <w:tcW w:w="3060" w:type="dxa"/>
          </w:tcPr>
          <w:p>
            <w:pPr>
              <w:rPr>
                <w:rFonts w:hint="eastAsia" w:ascii="宋体" w:hAnsi="宋体" w:eastAsia="宋体" w:cs="Times New Roman"/>
                <w:sz w:val="24"/>
                <w:szCs w:val="24"/>
              </w:rPr>
            </w:pPr>
            <w:r>
              <w:rPr>
                <w:rFonts w:hint="eastAsia" w:ascii="宋体" w:hAnsi="宋体" w:eastAsia="宋体" w:cs="Times New Roman"/>
                <w:sz w:val="24"/>
                <w:szCs w:val="24"/>
              </w:rPr>
              <w:t>时间：20</w:t>
            </w:r>
            <w:r>
              <w:rPr>
                <w:rFonts w:hint="eastAsia" w:ascii="宋体" w:hAnsi="宋体" w:eastAsia="宋体" w:cs="Times New Roman"/>
                <w:sz w:val="24"/>
                <w:szCs w:val="24"/>
                <w:lang w:val="en-US" w:eastAsia="zh-CN"/>
              </w:rPr>
              <w:t>20</w:t>
            </w:r>
            <w:r>
              <w:rPr>
                <w:rFonts w:hint="eastAsia" w:ascii="宋体" w:hAnsi="宋体" w:eastAsia="宋体" w:cs="Times New Roman"/>
                <w:sz w:val="24"/>
                <w:szCs w:val="24"/>
              </w:rPr>
              <w:t>年</w:t>
            </w:r>
            <w:r>
              <w:rPr>
                <w:rFonts w:hint="eastAsia" w:ascii="宋体" w:hAnsi="宋体" w:eastAsia="宋体" w:cs="Times New Roman"/>
                <w:sz w:val="24"/>
                <w:szCs w:val="24"/>
                <w:lang w:val="en-US" w:eastAsia="zh-CN"/>
              </w:rPr>
              <w:t>6</w:t>
            </w:r>
            <w:r>
              <w:rPr>
                <w:rFonts w:hint="eastAsia" w:ascii="宋体" w:hAnsi="宋体" w:eastAsia="宋体" w:cs="Times New Roman"/>
                <w:sz w:val="24"/>
                <w:szCs w:val="24"/>
              </w:rPr>
              <w:t>月</w:t>
            </w:r>
          </w:p>
          <w:p>
            <w:pPr>
              <w:ind w:firstLine="720" w:firstLineChars="300"/>
              <w:rPr>
                <w:rFonts w:hint="eastAsia" w:ascii="宋体" w:hAnsi="宋体" w:eastAsia="宋体" w:cs="Times New Roman"/>
                <w:sz w:val="24"/>
                <w:szCs w:val="24"/>
              </w:rPr>
            </w:pPr>
          </w:p>
        </w:tc>
        <w:tc>
          <w:tcPr>
            <w:tcW w:w="3112" w:type="dxa"/>
          </w:tcPr>
          <w:p>
            <w:pPr>
              <w:rPr>
                <w:rFonts w:hint="eastAsia" w:ascii="宋体" w:hAnsi="宋体" w:eastAsia="宋体"/>
                <w:sz w:val="24"/>
                <w:szCs w:val="24"/>
                <w:lang w:val="en-US" w:eastAsia="zh-CN"/>
              </w:rPr>
            </w:pPr>
            <w:r>
              <w:rPr>
                <w:rFonts w:hint="eastAsia" w:ascii="宋体" w:hAnsi="宋体" w:eastAsia="宋体" w:cs="Times New Roman"/>
                <w:sz w:val="24"/>
                <w:szCs w:val="24"/>
              </w:rPr>
              <w:t>学科主题：</w:t>
            </w:r>
          </w:p>
          <w:p>
            <w:pPr>
              <w:rPr>
                <w:rFonts w:hint="default" w:ascii="宋体" w:hAnsi="宋体" w:eastAsia="宋体"/>
                <w:sz w:val="24"/>
                <w:szCs w:val="24"/>
                <w:lang w:val="en-US" w:eastAsia="zh-CN"/>
              </w:rPr>
            </w:pPr>
            <w:r>
              <w:rPr>
                <w:rFonts w:hint="eastAsia" w:ascii="宋体" w:hAnsi="宋体" w:eastAsia="宋体"/>
                <w:sz w:val="24"/>
                <w:szCs w:val="24"/>
                <w:lang w:val="en-US" w:eastAsia="zh-CN"/>
              </w:rPr>
              <w:t>The BOND of LOVE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 w:hRule="atLeast"/>
        </w:trPr>
        <w:tc>
          <w:tcPr>
            <w:tcW w:w="1368" w:type="dxa"/>
            <w:vMerge w:val="restart"/>
          </w:tcPr>
          <w:p>
            <w:pPr>
              <w:rPr>
                <w:rFonts w:hint="eastAsia" w:ascii="宋体" w:hAnsi="宋体" w:eastAsia="宋体" w:cs="Times New Roman"/>
                <w:sz w:val="24"/>
                <w:szCs w:val="24"/>
              </w:rPr>
            </w:pPr>
            <w:r>
              <w:rPr>
                <w:rFonts w:hint="eastAsia" w:ascii="宋体" w:hAnsi="宋体" w:eastAsia="宋体" w:cs="Times New Roman"/>
                <w:sz w:val="24"/>
                <w:szCs w:val="24"/>
              </w:rPr>
              <w:t>黄锦蓉</w:t>
            </w:r>
          </w:p>
        </w:tc>
        <w:tc>
          <w:tcPr>
            <w:tcW w:w="9052" w:type="dxa"/>
            <w:gridSpan w:val="3"/>
          </w:tcPr>
          <w:p>
            <w:pPr>
              <w:numPr>
                <w:ilvl w:val="0"/>
                <w:numId w:val="0"/>
              </w:numPr>
              <w:spacing w:line="360" w:lineRule="exact"/>
              <w:rPr>
                <w:rFonts w:hint="default" w:ascii="Arial" w:hAnsi="Arial" w:eastAsia="宋体" w:cs="Arial"/>
                <w:i w:val="0"/>
                <w:caps w:val="0"/>
                <w:color w:val="auto"/>
                <w:spacing w:val="0"/>
                <w:sz w:val="21"/>
                <w:szCs w:val="21"/>
                <w:shd w:val="clear" w:fill="FFFFFF"/>
                <w:lang w:val="en-US" w:eastAsia="zh-CN"/>
              </w:rPr>
            </w:pPr>
            <w:r>
              <w:rPr>
                <w:rFonts w:hint="default" w:ascii="Arial" w:hAnsi="Arial" w:eastAsia="宋体" w:cs="Arial"/>
                <w:i w:val="0"/>
                <w:caps w:val="0"/>
                <w:color w:val="auto"/>
                <w:spacing w:val="0"/>
                <w:sz w:val="24"/>
                <w:szCs w:val="24"/>
                <w:shd w:val="clear" w:fill="FFFFFF"/>
                <w:lang w:val="en-US" w:eastAsia="zh-CN"/>
              </w:rPr>
              <w:t>亮点一，通过精心设计的问题链，逐步引导学生深入文本，总结归纳出文本中父亲的不同角色，以及父女之间的情感变化，完成对文的理解。在此过程中，巧妙的引导学生关注修辞手法，理解文体特征，并内化篇章结构，契合新课标对于思维能力拓展的要求。亮点二，把父亲不同角色的关键词做成一个心型的思维导图，呼应题目the Bond of Love, 非常绝妙的构思。在此基础上，引导学生画出自己的思维导图，从感性认知再到迁移输出输出，为学生搭建了十分非常好的一个脚手架。唯一一点小不足就是在，并用不同颜色标注。</w:t>
            </w:r>
            <w:r>
              <w:rPr>
                <w:rFonts w:hint="eastAsia" w:ascii="Arial" w:hAnsi="Arial" w:eastAsia="宋体" w:cs="Arial"/>
                <w:i w:val="0"/>
                <w:caps w:val="0"/>
                <w:color w:val="auto"/>
                <w:spacing w:val="0"/>
                <w:sz w:val="24"/>
                <w:szCs w:val="24"/>
                <w:shd w:val="clear" w:fill="FFFFFF"/>
                <w:lang w:val="en-US" w:eastAsia="zh-CN"/>
              </w:rPr>
              <w:t>亮点三，</w:t>
            </w:r>
            <w:r>
              <w:rPr>
                <w:rFonts w:hint="default" w:ascii="Arial" w:hAnsi="Arial" w:eastAsia="宋体" w:cs="Arial"/>
                <w:i w:val="0"/>
                <w:caps w:val="0"/>
                <w:color w:val="auto"/>
                <w:spacing w:val="0"/>
                <w:sz w:val="24"/>
                <w:szCs w:val="24"/>
                <w:shd w:val="clear" w:fill="FFFFFF"/>
                <w:lang w:val="en-US" w:eastAsia="zh-CN"/>
              </w:rPr>
              <w:t>导入的视频和选材都很新颖</w:t>
            </w:r>
            <w:r>
              <w:rPr>
                <w:rFonts w:hint="eastAsia" w:ascii="Arial" w:hAnsi="Arial" w:eastAsia="宋体" w:cs="Arial"/>
                <w:i w:val="0"/>
                <w:caps w:val="0"/>
                <w:color w:val="auto"/>
                <w:spacing w:val="0"/>
                <w:sz w:val="24"/>
                <w:szCs w:val="24"/>
                <w:shd w:val="clear" w:fill="FFFFFF"/>
                <w:lang w:val="en-US" w:eastAsia="zh-CN"/>
              </w:rPr>
              <w:t>，</w:t>
            </w:r>
            <w:r>
              <w:rPr>
                <w:rFonts w:hint="default" w:ascii="Arial" w:hAnsi="Arial" w:eastAsia="宋体" w:cs="Arial"/>
                <w:i w:val="0"/>
                <w:caps w:val="0"/>
                <w:color w:val="auto"/>
                <w:spacing w:val="0"/>
                <w:sz w:val="24"/>
                <w:szCs w:val="24"/>
                <w:shd w:val="clear" w:fill="FFFFFF"/>
                <w:lang w:val="en-US" w:eastAsia="zh-CN"/>
              </w:rPr>
              <w:t>视频导入环节能抓住学生眼球，紧扣人教版教材内容主题以及呼应即将到来的父亲节，很接地气</w:t>
            </w:r>
            <w:r>
              <w:rPr>
                <w:rFonts w:hint="eastAsia" w:ascii="Arial" w:hAnsi="Arial" w:eastAsia="宋体" w:cs="Arial"/>
                <w:i w:val="0"/>
                <w:caps w:val="0"/>
                <w:color w:val="auto"/>
                <w:spacing w:val="0"/>
                <w:sz w:val="24"/>
                <w:szCs w:val="24"/>
                <w:shd w:val="clear" w:fill="FFFFFF"/>
                <w:lang w:val="en-US" w:eastAsia="zh-CN"/>
              </w:rPr>
              <w:t>。亮点四，老师</w:t>
            </w:r>
            <w:r>
              <w:rPr>
                <w:rFonts w:hint="default" w:ascii="Arial" w:hAnsi="Arial" w:eastAsia="宋体" w:cs="Arial"/>
                <w:i w:val="0"/>
                <w:caps w:val="0"/>
                <w:color w:val="auto"/>
                <w:spacing w:val="0"/>
                <w:sz w:val="24"/>
                <w:szCs w:val="24"/>
                <w:shd w:val="clear" w:fill="FFFFFF"/>
                <w:lang w:val="en-US" w:eastAsia="zh-CN"/>
              </w:rPr>
              <w:t>课堂语言很简洁，导向性很强，能够带动学生跟着老师的思路深度理解阅读内容</w:t>
            </w:r>
            <w:r>
              <w:rPr>
                <w:rFonts w:hint="eastAsia" w:ascii="Arial" w:hAnsi="Arial" w:eastAsia="宋体" w:cs="Arial"/>
                <w:i w:val="0"/>
                <w:caps w:val="0"/>
                <w:color w:val="auto"/>
                <w:spacing w:val="0"/>
                <w:sz w:val="24"/>
                <w:szCs w:val="24"/>
                <w:shd w:val="clear" w:fill="FFFFFF"/>
                <w:lang w:val="en-US" w:eastAsia="zh-CN"/>
              </w:rPr>
              <w:t>。</w:t>
            </w:r>
            <w:r>
              <w:rPr>
                <w:rFonts w:hint="default" w:ascii="Arial" w:hAnsi="Arial" w:eastAsia="宋体" w:cs="Arial"/>
                <w:i w:val="0"/>
                <w:caps w:val="0"/>
                <w:color w:val="auto"/>
                <w:spacing w:val="0"/>
                <w:sz w:val="24"/>
                <w:szCs w:val="24"/>
                <w:shd w:val="clear" w:fill="FFFFFF"/>
                <w:lang w:val="en-US" w:eastAsia="zh-CN"/>
              </w:rPr>
              <w:t>整节课非常流畅，衔接自然；思维导图在阅读教学中的运用即巧妙又有创意，能培养学生的深度阅读能力。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trPr>
        <w:tc>
          <w:tcPr>
            <w:tcW w:w="1368" w:type="dxa"/>
            <w:vMerge w:val="continue"/>
          </w:tcPr>
          <w:p>
            <w:pPr>
              <w:rPr>
                <w:rFonts w:hint="eastAsia" w:ascii="宋体" w:hAnsi="宋体" w:eastAsia="宋体" w:cs="Times New Roman"/>
                <w:sz w:val="24"/>
                <w:szCs w:val="24"/>
              </w:rPr>
            </w:pPr>
          </w:p>
        </w:tc>
        <w:tc>
          <w:tcPr>
            <w:tcW w:w="9052" w:type="dxa"/>
            <w:gridSpan w:val="3"/>
          </w:tcPr>
          <w:p>
            <w:pPr>
              <w:spacing w:line="360" w:lineRule="exact"/>
              <w:rPr>
                <w:rFonts w:hint="default" w:ascii="宋体" w:hAnsi="宋体" w:eastAsia="宋体" w:cs="Times New Roman"/>
                <w:sz w:val="24"/>
                <w:szCs w:val="24"/>
                <w:lang w:val="en-US" w:eastAsia="zh-CN"/>
              </w:rPr>
            </w:pPr>
            <w:r>
              <w:rPr>
                <w:rFonts w:hint="eastAsia" w:ascii="宋体" w:hAnsi="宋体" w:eastAsia="宋体" w:cs="Times New Roman"/>
                <w:sz w:val="24"/>
                <w:szCs w:val="24"/>
              </w:rPr>
              <w:t xml:space="preserve"> </w:t>
            </w:r>
            <w:r>
              <w:rPr>
                <w:rFonts w:hint="eastAsia" w:ascii="宋体" w:hAnsi="宋体" w:eastAsia="宋体" w:cs="Times New Roman"/>
                <w:b/>
                <w:sz w:val="24"/>
                <w:szCs w:val="24"/>
              </w:rPr>
              <w:t>改进建议：</w:t>
            </w:r>
            <w:r>
              <w:rPr>
                <w:rFonts w:hint="default" w:ascii="Arial" w:hAnsi="Arial" w:eastAsia="宋体" w:cs="Arial"/>
                <w:i w:val="0"/>
                <w:caps w:val="0"/>
                <w:color w:val="auto"/>
                <w:spacing w:val="0"/>
                <w:sz w:val="24"/>
                <w:szCs w:val="24"/>
                <w:shd w:val="clear" w:fill="FFFFFF"/>
                <w:lang w:val="en-US" w:eastAsia="zh-CN"/>
              </w:rPr>
              <w:t>板书确实稍显简单。</w:t>
            </w:r>
            <w:r>
              <w:rPr>
                <w:rFonts w:hint="eastAsia" w:ascii="宋体" w:hAnsi="宋体" w:eastAsia="宋体" w:cs="Times New Roman"/>
                <w:sz w:val="24"/>
                <w:szCs w:val="24"/>
              </w:rPr>
              <w:t xml:space="preserve"> </w:t>
            </w:r>
            <w:r>
              <w:rPr>
                <w:rFonts w:hint="default" w:ascii="Arial" w:hAnsi="Arial" w:eastAsia="宋体" w:cs="Arial"/>
                <w:i w:val="0"/>
                <w:caps w:val="0"/>
                <w:color w:val="auto"/>
                <w:spacing w:val="0"/>
                <w:sz w:val="24"/>
                <w:szCs w:val="24"/>
                <w:shd w:val="clear" w:fill="FFFFFF"/>
                <w:lang w:val="en-US" w:eastAsia="zh-CN"/>
              </w:rPr>
              <w:t>上课过程中</w:t>
            </w:r>
            <w:r>
              <w:rPr>
                <w:rFonts w:hint="eastAsia" w:ascii="Arial" w:hAnsi="Arial" w:eastAsia="宋体" w:cs="Arial"/>
                <w:i w:val="0"/>
                <w:caps w:val="0"/>
                <w:color w:val="auto"/>
                <w:spacing w:val="0"/>
                <w:sz w:val="24"/>
                <w:szCs w:val="24"/>
                <w:shd w:val="clear" w:fill="FFFFFF"/>
                <w:lang w:val="en-US" w:eastAsia="zh-CN"/>
              </w:rPr>
              <w:t>可以</w:t>
            </w:r>
            <w:r>
              <w:rPr>
                <w:rFonts w:hint="default" w:ascii="Arial" w:hAnsi="Arial" w:eastAsia="宋体" w:cs="Arial"/>
                <w:i w:val="0"/>
                <w:caps w:val="0"/>
                <w:color w:val="auto"/>
                <w:spacing w:val="0"/>
                <w:sz w:val="24"/>
                <w:szCs w:val="24"/>
                <w:shd w:val="clear" w:fill="FFFFFF"/>
                <w:lang w:val="en-US" w:eastAsia="zh-CN"/>
              </w:rPr>
              <w:t>强调提醒学生根据老师的提示划出情感变化的词汇和句子</w:t>
            </w:r>
            <w:r>
              <w:rPr>
                <w:rFonts w:hint="eastAsia" w:ascii="Arial" w:hAnsi="Arial" w:eastAsia="宋体" w:cs="Arial"/>
                <w:i w:val="0"/>
                <w:caps w:val="0"/>
                <w:color w:val="auto"/>
                <w:spacing w:val="0"/>
                <w:sz w:val="24"/>
                <w:szCs w:val="24"/>
                <w:shd w:val="clear" w:fill="FFFFFF"/>
                <w:lang w:val="en-US" w:eastAsia="zh-CN"/>
              </w:rPr>
              <w:t>。</w:t>
            </w:r>
          </w:p>
        </w:tc>
      </w:tr>
    </w:tbl>
    <w:p>
      <w:pPr>
        <w:rPr>
          <w:rFonts w:hint="eastAsia" w:ascii="宋体" w:hAnsi="宋体" w:eastAsia="宋体" w:cs="Times New Roman"/>
          <w:b/>
          <w:sz w:val="24"/>
          <w:szCs w:val="24"/>
        </w:rPr>
      </w:pPr>
    </w:p>
    <w:p>
      <w:pPr>
        <w:rPr>
          <w:rFonts w:hint="eastAsia" w:ascii="宋体" w:hAnsi="宋体" w:eastAsia="宋体" w:cs="Times New Roman"/>
          <w:b/>
          <w:sz w:val="24"/>
          <w:szCs w:val="24"/>
        </w:rPr>
      </w:pPr>
    </w:p>
    <w:p>
      <w:pPr>
        <w:rPr>
          <w:rFonts w:hint="eastAsia" w:ascii="宋体" w:hAnsi="宋体" w:eastAsia="宋体" w:cs="Times New Roman"/>
          <w:b/>
          <w:sz w:val="24"/>
          <w:szCs w:val="24"/>
        </w:rPr>
      </w:pPr>
    </w:p>
    <w:tbl>
      <w:tblPr>
        <w:tblStyle w:val="5"/>
        <w:tblpPr w:leftFromText="180" w:rightFromText="180" w:vertAnchor="page" w:horzAnchor="margin" w:tblpY="1632"/>
        <w:tblOverlap w:val="never"/>
        <w:tblW w:w="104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68"/>
        <w:gridCol w:w="2880"/>
        <w:gridCol w:w="3060"/>
        <w:gridCol w:w="31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8" w:type="dxa"/>
          </w:tcPr>
          <w:p>
            <w:pPr>
              <w:rPr>
                <w:rFonts w:hint="eastAsia" w:ascii="宋体" w:hAnsi="宋体" w:eastAsia="宋体" w:cs="Times New Roman"/>
                <w:sz w:val="24"/>
                <w:szCs w:val="24"/>
              </w:rPr>
            </w:pPr>
            <w:r>
              <w:rPr>
                <w:rFonts w:hint="eastAsia" w:ascii="宋体" w:hAnsi="宋体" w:eastAsia="宋体" w:cs="Times New Roman"/>
                <w:sz w:val="24"/>
                <w:szCs w:val="24"/>
              </w:rPr>
              <w:t>评议人</w:t>
            </w:r>
          </w:p>
          <w:p>
            <w:pPr>
              <w:rPr>
                <w:rFonts w:hint="eastAsia" w:ascii="宋体" w:hAnsi="宋体" w:eastAsia="宋体" w:cs="Times New Roman"/>
                <w:sz w:val="24"/>
                <w:szCs w:val="24"/>
              </w:rPr>
            </w:pPr>
          </w:p>
        </w:tc>
        <w:tc>
          <w:tcPr>
            <w:tcW w:w="2880" w:type="dxa"/>
          </w:tcPr>
          <w:p>
            <w:pPr>
              <w:rPr>
                <w:rFonts w:hint="eastAsia" w:ascii="宋体" w:hAnsi="宋体" w:eastAsia="宋体" w:cs="Times New Roman"/>
                <w:sz w:val="24"/>
                <w:szCs w:val="24"/>
              </w:rPr>
            </w:pPr>
            <w:r>
              <w:rPr>
                <w:rFonts w:hint="eastAsia" w:ascii="宋体" w:hAnsi="宋体" w:eastAsia="宋体" w:cs="Times New Roman"/>
                <w:sz w:val="24"/>
                <w:szCs w:val="24"/>
              </w:rPr>
              <w:t>执教老师：</w:t>
            </w:r>
            <w:r>
              <w:rPr>
                <w:rFonts w:hint="eastAsia" w:ascii="宋体" w:hAnsi="宋体" w:eastAsia="宋体" w:cs="Times New Roman"/>
                <w:sz w:val="24"/>
                <w:szCs w:val="24"/>
                <w:lang w:val="en-US" w:eastAsia="zh-CN"/>
              </w:rPr>
              <w:t>黄秋燕</w:t>
            </w:r>
            <w:r>
              <w:rPr>
                <w:rFonts w:hint="eastAsia" w:ascii="宋体" w:hAnsi="宋体" w:eastAsia="宋体" w:cs="Times New Roman"/>
                <w:sz w:val="24"/>
                <w:szCs w:val="24"/>
              </w:rPr>
              <w:t xml:space="preserve">   </w:t>
            </w:r>
          </w:p>
        </w:tc>
        <w:tc>
          <w:tcPr>
            <w:tcW w:w="3060" w:type="dxa"/>
          </w:tcPr>
          <w:p>
            <w:pPr>
              <w:rPr>
                <w:rFonts w:hint="eastAsia" w:ascii="宋体" w:hAnsi="宋体" w:eastAsia="宋体" w:cs="Times New Roman"/>
                <w:sz w:val="24"/>
                <w:szCs w:val="24"/>
              </w:rPr>
            </w:pPr>
            <w:r>
              <w:rPr>
                <w:rFonts w:hint="eastAsia" w:ascii="宋体" w:hAnsi="宋体" w:eastAsia="宋体" w:cs="Times New Roman"/>
                <w:sz w:val="24"/>
                <w:szCs w:val="24"/>
              </w:rPr>
              <w:t>时间：20</w:t>
            </w:r>
            <w:r>
              <w:rPr>
                <w:rFonts w:hint="eastAsia" w:ascii="宋体" w:hAnsi="宋体" w:eastAsia="宋体" w:cs="Times New Roman"/>
                <w:sz w:val="24"/>
                <w:szCs w:val="24"/>
                <w:lang w:val="en-US" w:eastAsia="zh-CN"/>
              </w:rPr>
              <w:t>20</w:t>
            </w:r>
            <w:r>
              <w:rPr>
                <w:rFonts w:hint="eastAsia" w:ascii="宋体" w:hAnsi="宋体" w:eastAsia="宋体" w:cs="Times New Roman"/>
                <w:sz w:val="24"/>
                <w:szCs w:val="24"/>
              </w:rPr>
              <w:t>年</w:t>
            </w:r>
            <w:r>
              <w:rPr>
                <w:rFonts w:hint="eastAsia" w:ascii="宋体" w:hAnsi="宋体" w:eastAsia="宋体" w:cs="Times New Roman"/>
                <w:sz w:val="24"/>
                <w:szCs w:val="24"/>
                <w:lang w:val="en-US" w:eastAsia="zh-CN"/>
              </w:rPr>
              <w:t>6</w:t>
            </w:r>
            <w:r>
              <w:rPr>
                <w:rFonts w:hint="eastAsia" w:ascii="宋体" w:hAnsi="宋体" w:eastAsia="宋体" w:cs="Times New Roman"/>
                <w:sz w:val="24"/>
                <w:szCs w:val="24"/>
              </w:rPr>
              <w:t>月</w:t>
            </w:r>
          </w:p>
          <w:p>
            <w:pPr>
              <w:ind w:firstLine="720" w:firstLineChars="300"/>
              <w:rPr>
                <w:rFonts w:hint="eastAsia" w:ascii="宋体" w:hAnsi="宋体" w:eastAsia="宋体" w:cs="Times New Roman"/>
                <w:sz w:val="24"/>
                <w:szCs w:val="24"/>
              </w:rPr>
            </w:pPr>
          </w:p>
        </w:tc>
        <w:tc>
          <w:tcPr>
            <w:tcW w:w="3112" w:type="dxa"/>
          </w:tcPr>
          <w:p>
            <w:pPr>
              <w:rPr>
                <w:rFonts w:hint="default" w:ascii="宋体" w:hAnsi="宋体" w:eastAsia="宋体"/>
                <w:sz w:val="24"/>
                <w:szCs w:val="24"/>
                <w:lang w:val="en-US" w:eastAsia="zh-CN"/>
              </w:rPr>
            </w:pPr>
            <w:r>
              <w:rPr>
                <w:rFonts w:hint="eastAsia" w:ascii="宋体" w:hAnsi="宋体" w:eastAsia="宋体" w:cs="Times New Roman"/>
                <w:sz w:val="24"/>
                <w:szCs w:val="24"/>
              </w:rPr>
              <w:t>学科主题：</w:t>
            </w:r>
            <w:r>
              <w:rPr>
                <w:rFonts w:hint="eastAsia" w:ascii="宋体" w:hAnsi="宋体" w:eastAsia="宋体"/>
                <w:sz w:val="24"/>
                <w:szCs w:val="24"/>
                <w:lang w:val="en-US" w:eastAsia="zh-CN"/>
              </w:rPr>
              <w:t>future life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 w:hRule="atLeast"/>
        </w:trPr>
        <w:tc>
          <w:tcPr>
            <w:tcW w:w="1368" w:type="dxa"/>
            <w:vMerge w:val="restart"/>
          </w:tcPr>
          <w:p>
            <w:pPr>
              <w:rPr>
                <w:rFonts w:hint="eastAsia" w:ascii="宋体" w:hAnsi="宋体" w:eastAsia="宋体" w:cs="Times New Roman"/>
                <w:sz w:val="24"/>
                <w:szCs w:val="24"/>
              </w:rPr>
            </w:pPr>
            <w:r>
              <w:rPr>
                <w:rFonts w:hint="eastAsia" w:ascii="宋体" w:hAnsi="宋体" w:eastAsia="宋体" w:cs="Times New Roman"/>
                <w:sz w:val="24"/>
                <w:szCs w:val="24"/>
              </w:rPr>
              <w:t>黄锦蓉</w:t>
            </w:r>
          </w:p>
        </w:tc>
        <w:tc>
          <w:tcPr>
            <w:tcW w:w="9052" w:type="dxa"/>
            <w:gridSpan w:val="3"/>
          </w:tcPr>
          <w:p>
            <w:pPr>
              <w:snapToGrid w:val="0"/>
              <w:spacing w:line="300" w:lineRule="auto"/>
              <w:rPr>
                <w:rFonts w:hint="eastAsia"/>
                <w:lang w:val="en-US" w:eastAsia="zh-CN"/>
              </w:rPr>
            </w:pPr>
            <w:r>
              <w:rPr>
                <w:rFonts w:hint="eastAsia"/>
                <w:lang w:val="en-US" w:eastAsia="zh-CN"/>
              </w:rPr>
              <w:t>亮点</w:t>
            </w:r>
          </w:p>
          <w:p>
            <w:pPr>
              <w:snapToGrid w:val="0"/>
              <w:spacing w:line="300" w:lineRule="auto"/>
            </w:pPr>
            <w:r>
              <w:t>1.阅读获取文章主旨，培养寻找supporting details的论证能力；</w:t>
            </w:r>
          </w:p>
          <w:p>
            <w:pPr>
              <w:snapToGrid w:val="0"/>
              <w:spacing w:line="300" w:lineRule="auto"/>
            </w:pPr>
            <w:r>
              <w:t>2.唤起学生对人类未来生活的美好憧憬；</w:t>
            </w:r>
          </w:p>
          <w:p>
            <w:pPr>
              <w:snapToGrid w:val="0"/>
              <w:spacing w:line="300" w:lineRule="auto"/>
            </w:pPr>
            <w:r>
              <w:t>3.能够运用本节所学核心词汇，讨论和描述自己所憧憬的未来生活。</w:t>
            </w:r>
          </w:p>
          <w:p>
            <w:pPr>
              <w:snapToGrid w:val="0"/>
              <w:spacing w:line="300" w:lineRule="auto"/>
              <w:ind w:firstLine="420"/>
            </w:pPr>
            <w:r>
              <w:rPr>
                <w:rFonts w:hint="eastAsia"/>
              </w:rPr>
              <w:t>秋燕老师的教学流程如下：</w:t>
            </w:r>
          </w:p>
          <w:p>
            <w:pPr>
              <w:snapToGrid w:val="0"/>
              <w:spacing w:line="300" w:lineRule="auto"/>
              <w:ind w:firstLine="420"/>
            </w:pPr>
            <w:r>
              <w:t>1</w:t>
            </w:r>
            <w:r>
              <w:rPr>
                <w:rFonts w:hint="eastAsia"/>
                <w:lang w:eastAsia="zh-CN"/>
              </w:rPr>
              <w:t>）</w:t>
            </w:r>
            <w:r>
              <w:t>lead-in视频：What will life be like in the near future？激活描述未来生活的背景词汇；唤起学生对人类未来生活的美好憧憬。</w:t>
            </w:r>
          </w:p>
          <w:p>
            <w:pPr>
              <w:snapToGrid w:val="0"/>
              <w:spacing w:line="300" w:lineRule="auto"/>
              <w:ind w:firstLine="420"/>
            </w:pPr>
            <w:r>
              <w:t>2</w:t>
            </w:r>
            <w:r>
              <w:rPr>
                <w:rFonts w:hint="eastAsia"/>
                <w:lang w:eastAsia="zh-CN"/>
              </w:rPr>
              <w:t>）</w:t>
            </w:r>
            <w:r>
              <w:t>进一步引导同学们展开讨论，畅想</w:t>
            </w:r>
            <w:r>
              <w:rPr>
                <w:rFonts w:hint="eastAsia"/>
              </w:rPr>
              <w:t>更遥远的</w:t>
            </w:r>
            <w:r>
              <w:t>未来生活。</w:t>
            </w:r>
          </w:p>
          <w:p>
            <w:pPr>
              <w:snapToGrid w:val="0"/>
              <w:spacing w:line="300" w:lineRule="auto"/>
              <w:ind w:firstLine="420"/>
            </w:pPr>
            <w:r>
              <w:t>3</w:t>
            </w:r>
            <w:r>
              <w:rPr>
                <w:rFonts w:hint="eastAsia"/>
                <w:lang w:eastAsia="zh-CN"/>
              </w:rPr>
              <w:t>）</w:t>
            </w:r>
            <w:r>
              <w:t>阅读主阅读篇章，了解2050年人们在网络帖子分享的生活，学习如何描述hotel，houses和cars，以及做出评价。同时练习寻找supporting details的阅读策略。</w:t>
            </w:r>
          </w:p>
          <w:p>
            <w:pPr>
              <w:snapToGrid w:val="0"/>
              <w:spacing w:line="300" w:lineRule="auto"/>
              <w:ind w:firstLine="420"/>
            </w:pPr>
            <w:r>
              <w:t>4</w:t>
            </w:r>
            <w:r>
              <w:rPr>
                <w:rFonts w:hint="eastAsia"/>
                <w:lang w:eastAsia="zh-CN"/>
              </w:rPr>
              <w:t>）</w:t>
            </w:r>
            <w:r>
              <w:t>读后小组活动：选取其中一个方面，描述</w:t>
            </w:r>
            <w:r>
              <w:rPr>
                <w:rFonts w:hint="eastAsia"/>
              </w:rPr>
              <w:t>学生</w:t>
            </w:r>
            <w:r>
              <w:t>想象中的未来生活并做出评价。过程中可以将刚学习的supporting details学以致用，同时鼓励同学们尽量多的运用课文相关的新词、短语，达成“运用本节所学核心词汇，讨论和描述自己所憧憬的未来生活”的教学目标。</w:t>
            </w:r>
          </w:p>
          <w:p>
            <w:pPr>
              <w:snapToGrid w:val="0"/>
              <w:spacing w:line="300" w:lineRule="auto"/>
              <w:ind w:firstLine="420"/>
            </w:pPr>
            <w:r>
              <w:rPr>
                <w:rFonts w:hint="eastAsia"/>
              </w:rPr>
              <w:t>5</w:t>
            </w:r>
            <w:r>
              <w:rPr>
                <w:rFonts w:hint="eastAsia"/>
                <w:lang w:eastAsia="zh-CN"/>
              </w:rPr>
              <w:t>）</w:t>
            </w:r>
            <w:r>
              <w:rPr>
                <w:rFonts w:hint="eastAsia"/>
              </w:rPr>
              <w:t>课堂学习自评：是否掌握了寻找supporting</w:t>
            </w:r>
            <w:r>
              <w:t xml:space="preserve"> </w:t>
            </w:r>
            <w:r>
              <w:rPr>
                <w:rFonts w:hint="eastAsia"/>
              </w:rPr>
              <w:t>details的技巧？是否能够流利</w:t>
            </w:r>
            <w:r>
              <w:t>描述自己所憧憬的未来生活</w:t>
            </w:r>
            <w:r>
              <w:rPr>
                <w:rFonts w:hint="eastAsia"/>
              </w:rPr>
              <w:t>？</w:t>
            </w:r>
          </w:p>
          <w:p>
            <w:pPr>
              <w:snapToGrid w:val="0"/>
              <w:spacing w:line="300" w:lineRule="auto"/>
              <w:ind w:firstLine="420"/>
            </w:pPr>
            <w:r>
              <w:rPr>
                <w:rFonts w:hint="eastAsia"/>
              </w:rPr>
              <w:t>总体而言，秋燕老师教学重难点突出，教学环节层层递进，目的清晰。把握课堂自如，和学生的互动多样，学生积极勇跃参加活动，落实到位。</w:t>
            </w:r>
            <w:r>
              <w:t>Group work分工明确，学生参与度高，互动积极，任务完成的质量高，输出的质量也很高</w:t>
            </w:r>
            <w:r>
              <w:rPr>
                <w:rFonts w:hint="eastAsia"/>
              </w:rPr>
              <w:t>，学生能做到学以致用。</w:t>
            </w:r>
          </w:p>
          <w:p>
            <w:pPr>
              <w:spacing w:line="360" w:lineRule="exact"/>
              <w:rPr>
                <w:rFonts w:hint="eastAsia" w:ascii="宋体" w:hAnsi="宋体" w:eastAsia="宋体"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0" w:hRule="atLeast"/>
        </w:trPr>
        <w:tc>
          <w:tcPr>
            <w:tcW w:w="1368" w:type="dxa"/>
            <w:vMerge w:val="continue"/>
          </w:tcPr>
          <w:p>
            <w:pPr>
              <w:rPr>
                <w:rFonts w:hint="eastAsia" w:ascii="宋体" w:hAnsi="宋体" w:eastAsia="宋体" w:cs="Times New Roman"/>
                <w:sz w:val="24"/>
                <w:szCs w:val="24"/>
              </w:rPr>
            </w:pPr>
          </w:p>
        </w:tc>
        <w:tc>
          <w:tcPr>
            <w:tcW w:w="9052" w:type="dxa"/>
            <w:gridSpan w:val="3"/>
            <w:tcBorders/>
          </w:tcPr>
          <w:p>
            <w:pPr>
              <w:spacing w:line="360" w:lineRule="exact"/>
              <w:rPr>
                <w:rFonts w:hint="eastAsia" w:ascii="宋体" w:hAnsi="宋体" w:eastAsia="宋体" w:cs="Times New Roman"/>
                <w:b/>
                <w:sz w:val="24"/>
                <w:szCs w:val="24"/>
              </w:rPr>
            </w:pPr>
            <w:r>
              <w:rPr>
                <w:rFonts w:hint="eastAsia" w:ascii="宋体" w:hAnsi="宋体" w:eastAsia="宋体" w:cs="Times New Roman"/>
                <w:b/>
                <w:sz w:val="24"/>
                <w:szCs w:val="24"/>
              </w:rPr>
              <w:t>改进建议：</w:t>
            </w:r>
          </w:p>
          <w:p>
            <w:pPr>
              <w:snapToGrid w:val="0"/>
              <w:spacing w:line="300" w:lineRule="auto"/>
              <w:ind w:firstLine="420"/>
            </w:pPr>
            <w:r>
              <w:rPr>
                <w:rFonts w:hint="eastAsia"/>
              </w:rPr>
              <w:t>开头引入部分的视频可以更充分利用，设计几个问题，引导同学们向不同方向思考和回答，将他们总结的关于未来生活特点的词汇写在黑板上，以备后续总结</w:t>
            </w:r>
            <w:bookmarkStart w:id="0" w:name="_GoBack"/>
            <w:bookmarkEnd w:id="0"/>
            <w:r>
              <w:rPr>
                <w:rFonts w:hint="eastAsia"/>
              </w:rPr>
              <w:t>characteristics时使用。</w:t>
            </w:r>
          </w:p>
          <w:p>
            <w:pPr>
              <w:spacing w:line="360" w:lineRule="exact"/>
              <w:rPr>
                <w:rFonts w:hint="default" w:ascii="宋体" w:hAnsi="宋体" w:eastAsia="宋体" w:cs="Times New Roman"/>
                <w:sz w:val="24"/>
                <w:szCs w:val="24"/>
                <w:lang w:val="en-US" w:eastAsia="zh-CN"/>
              </w:rPr>
            </w:pPr>
          </w:p>
        </w:tc>
      </w:tr>
    </w:tbl>
    <w:p>
      <w:pPr>
        <w:rPr>
          <w:rFonts w:hint="eastAsia" w:ascii="宋体" w:hAnsi="宋体" w:eastAsia="宋体" w:cs="Times New Roman"/>
          <w:b/>
          <w:sz w:val="24"/>
          <w:szCs w:val="24"/>
        </w:rPr>
      </w:pPr>
    </w:p>
    <w:p>
      <w:pPr>
        <w:rPr>
          <w:rFonts w:ascii="宋体" w:hAnsi="宋体" w:eastAsia="宋体"/>
          <w:sz w:val="24"/>
          <w:szCs w:val="24"/>
        </w:rPr>
      </w:pPr>
    </w:p>
    <w:sectPr>
      <w:headerReference r:id="rId3" w:type="default"/>
      <w:pgSz w:w="11906" w:h="16838"/>
      <w:pgMar w:top="851" w:right="851" w:bottom="851" w:left="85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0970"/>
    <w:rsid w:val="00031E01"/>
    <w:rsid w:val="00143AF4"/>
    <w:rsid w:val="001745D0"/>
    <w:rsid w:val="00180970"/>
    <w:rsid w:val="0018386B"/>
    <w:rsid w:val="002F78A8"/>
    <w:rsid w:val="004E3535"/>
    <w:rsid w:val="00EE0EE4"/>
    <w:rsid w:val="026B028A"/>
    <w:rsid w:val="07CA640A"/>
    <w:rsid w:val="0AD61F3F"/>
    <w:rsid w:val="12274893"/>
    <w:rsid w:val="151E4855"/>
    <w:rsid w:val="1B50709E"/>
    <w:rsid w:val="1B636CD3"/>
    <w:rsid w:val="1C1D7055"/>
    <w:rsid w:val="1C5D2241"/>
    <w:rsid w:val="26791C9D"/>
    <w:rsid w:val="295056E4"/>
    <w:rsid w:val="2A6C3253"/>
    <w:rsid w:val="359330D9"/>
    <w:rsid w:val="3E376587"/>
    <w:rsid w:val="3FE546D2"/>
    <w:rsid w:val="40D061A5"/>
    <w:rsid w:val="45D11C53"/>
    <w:rsid w:val="55F900A6"/>
    <w:rsid w:val="587822C6"/>
    <w:rsid w:val="604A2E60"/>
    <w:rsid w:val="62BB178B"/>
    <w:rsid w:val="64F66C9E"/>
    <w:rsid w:val="67017CD5"/>
    <w:rsid w:val="6A8015D1"/>
    <w:rsid w:val="6CEA663E"/>
    <w:rsid w:val="6FB638A4"/>
    <w:rsid w:val="7A5158A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unhideWhenUsed/>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9"/>
    <w:unhideWhenUsed/>
    <w:qFormat/>
    <w:uiPriority w:val="99"/>
    <w:pPr>
      <w:tabs>
        <w:tab w:val="center" w:pos="4153"/>
        <w:tab w:val="right" w:pos="8306"/>
      </w:tabs>
      <w:snapToGrid w:val="0"/>
      <w:jc w:val="left"/>
    </w:pPr>
    <w:rPr>
      <w:sz w:val="18"/>
      <w:szCs w:val="18"/>
    </w:rPr>
  </w:style>
  <w:style w:type="paragraph" w:styleId="3">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paragraph" w:styleId="4">
    <w:name w:val="Normal (Web)"/>
    <w:basedOn w:val="1"/>
    <w:semiHidden/>
    <w:qFormat/>
    <w:uiPriority w:val="99"/>
    <w:pPr>
      <w:widowControl/>
      <w:spacing w:before="100" w:beforeAutospacing="1" w:after="100" w:afterAutospacing="1"/>
      <w:jc w:val="left"/>
    </w:pPr>
    <w:rPr>
      <w:rFonts w:ascii="宋体" w:hAnsi="宋体" w:cs="宋体"/>
      <w:kern w:val="0"/>
      <w:sz w:val="24"/>
      <w:szCs w:val="24"/>
    </w:rPr>
  </w:style>
  <w:style w:type="character" w:styleId="7">
    <w:name w:val="Hyperlink"/>
    <w:basedOn w:val="6"/>
    <w:semiHidden/>
    <w:unhideWhenUsed/>
    <w:uiPriority w:val="99"/>
    <w:rPr>
      <w:color w:val="0000FF"/>
      <w:u w:val="single"/>
    </w:rPr>
  </w:style>
  <w:style w:type="character" w:customStyle="1" w:styleId="8">
    <w:name w:val="页眉 字符"/>
    <w:basedOn w:val="6"/>
    <w:link w:val="3"/>
    <w:qFormat/>
    <w:uiPriority w:val="99"/>
    <w:rPr>
      <w:sz w:val="18"/>
      <w:szCs w:val="18"/>
    </w:rPr>
  </w:style>
  <w:style w:type="character" w:customStyle="1" w:styleId="9">
    <w:name w:val="页脚 字符"/>
    <w:basedOn w:val="6"/>
    <w:link w:val="2"/>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151</Words>
  <Characters>867</Characters>
  <Lines>7</Lines>
  <Paragraphs>2</Paragraphs>
  <TotalTime>2</TotalTime>
  <ScaleCrop>false</ScaleCrop>
  <LinksUpToDate>false</LinksUpToDate>
  <CharactersWithSpaces>1016</CharactersWithSpaces>
  <Application>WPS Office_11.3.0.9228_F1E327BC-269C-435d-A152-05C5408002CA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2016-01-20T01:06:00Z</dcterms:created>
  <dc:creator>Administrator</dc:creator>
  <cp:lastModifiedBy>Huang</cp:lastModifiedBy>
  <dcterms:modified xsi:type="dcterms:W3CDTF">2020-07-17T12:36:19Z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2052-11.3.0.9228</vt:lpwstr>
  </property>
</Properties>
</file>