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生命和健康的权利</w:t>
      </w:r>
    </w:p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                  </w:t>
      </w:r>
      <w:r>
        <w:rPr>
          <w:rFonts w:hint="eastAsia"/>
          <w:sz w:val="28"/>
          <w:szCs w:val="28"/>
        </w:rPr>
        <w:t>---祁军磊老师的公开课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富有磁性的男中音出自政治老师祁军磊。整节课给人的感觉就是材料丰富，举例接地气，数据充分、合理，语言生动。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法律是中学生政治课堂的重要的内容。老师在课前进行大量的备课，收集材料，并且在课堂中分组讨论、合作探究、自主展示。尤其是把课堂从社会观察----小小法官----火眼金睛----小小律师等环节充分调动学生的积极性，理论结合社会实际案例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本节课的实效性毋庸置疑，老师的课堂目标达到了，让学生了解到人身权利与人身自由权利、生命健康权的关系，各自地位、法律规定。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CF09DA"/>
    <w:rsid w:val="59CF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2020-07-20T08:23:00Z</dcterms:created>
  <dc:creator>回收</dc:creator>
  <cp:lastModifiedBy>回收</cp:lastModifiedBy>
  <dcterms:modified xsi:type="dcterms:W3CDTF">2020-07-20T08:24:04Z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