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F35" w:rsidRDefault="002865DE">
      <w:pPr>
        <w:rPr>
          <w:rFonts w:hint="eastAsia"/>
        </w:rPr>
      </w:pPr>
      <w:r>
        <w:rPr>
          <w:rFonts w:hint="eastAsia"/>
        </w:rPr>
        <w:t>博文</w:t>
      </w:r>
      <w:r>
        <w:rPr>
          <w:rFonts w:hint="eastAsia"/>
        </w:rPr>
        <w:t>3</w:t>
      </w:r>
    </w:p>
    <w:p w:rsidR="002865DE" w:rsidRDefault="002865DE">
      <w:pPr>
        <w:rPr>
          <w:rFonts w:hint="eastAsia"/>
        </w:rPr>
      </w:pPr>
    </w:p>
    <w:p w:rsidR="002865DE" w:rsidRDefault="002865DE">
      <w:pPr>
        <w:rPr>
          <w:rFonts w:hint="eastAsia"/>
        </w:rPr>
      </w:pPr>
      <w:r>
        <w:rPr>
          <w:rFonts w:hint="eastAsia"/>
        </w:rPr>
        <w:t xml:space="preserve">                   </w:t>
      </w:r>
      <w:r w:rsidR="006428ED">
        <w:rPr>
          <w:rFonts w:hint="eastAsia"/>
        </w:rPr>
        <w:t>中国</w:t>
      </w:r>
      <w:r w:rsidR="006428ED">
        <w:rPr>
          <w:rFonts w:hint="eastAsia"/>
        </w:rPr>
        <w:t>GTP</w:t>
      </w:r>
      <w:r w:rsidR="006428ED">
        <w:rPr>
          <w:rFonts w:hint="eastAsia"/>
        </w:rPr>
        <w:t>首次超过</w:t>
      </w:r>
      <w:r w:rsidR="006428ED">
        <w:rPr>
          <w:rFonts w:hint="eastAsia"/>
        </w:rPr>
        <w:t>100</w:t>
      </w:r>
      <w:proofErr w:type="gramStart"/>
      <w:r w:rsidR="006428ED">
        <w:rPr>
          <w:rFonts w:hint="eastAsia"/>
        </w:rPr>
        <w:t>万亿</w:t>
      </w:r>
      <w:proofErr w:type="gramEnd"/>
    </w:p>
    <w:p w:rsidR="006428ED" w:rsidRDefault="006428ED">
      <w:pPr>
        <w:rPr>
          <w:rFonts w:hint="eastAsia"/>
        </w:rPr>
      </w:pPr>
    </w:p>
    <w:p w:rsidR="006428ED" w:rsidRPr="006428ED" w:rsidRDefault="006428ED">
      <w:pPr>
        <w:rPr>
          <w:rFonts w:hint="eastAsia"/>
          <w:color w:val="4D4F53"/>
          <w:spacing w:val="14"/>
          <w:sz w:val="24"/>
          <w:szCs w:val="24"/>
          <w:shd w:val="clear" w:color="auto" w:fill="FFFFFF"/>
        </w:rPr>
      </w:pPr>
      <w:r>
        <w:rPr>
          <w:rFonts w:hint="eastAsia"/>
        </w:rPr>
        <w:t xml:space="preserve">    </w:t>
      </w:r>
      <w:r w:rsidRPr="006428ED">
        <w:rPr>
          <w:rFonts w:hint="eastAsia"/>
          <w:sz w:val="24"/>
          <w:szCs w:val="24"/>
        </w:rPr>
        <w:t xml:space="preserve">  </w:t>
      </w:r>
      <w:r w:rsidRPr="006428ED">
        <w:rPr>
          <w:rFonts w:hint="eastAsia"/>
          <w:color w:val="4D4F53"/>
          <w:spacing w:val="14"/>
          <w:sz w:val="24"/>
          <w:szCs w:val="24"/>
          <w:shd w:val="clear" w:color="auto" w:fill="FFFFFF"/>
        </w:rPr>
        <w:t>2020</w:t>
      </w:r>
      <w:r w:rsidRPr="006428ED">
        <w:rPr>
          <w:rFonts w:hint="eastAsia"/>
          <w:color w:val="4D4F53"/>
          <w:spacing w:val="14"/>
          <w:sz w:val="24"/>
          <w:szCs w:val="24"/>
          <w:shd w:val="clear" w:color="auto" w:fill="FFFFFF"/>
        </w:rPr>
        <w:t>年，我国国内生产总值达到了</w:t>
      </w:r>
      <w:r w:rsidRPr="006428ED">
        <w:rPr>
          <w:rFonts w:hint="eastAsia"/>
          <w:color w:val="4D4F53"/>
          <w:spacing w:val="14"/>
          <w:sz w:val="24"/>
          <w:szCs w:val="24"/>
          <w:shd w:val="clear" w:color="auto" w:fill="FFFFFF"/>
        </w:rPr>
        <w:t>101.6</w:t>
      </w:r>
      <w:proofErr w:type="gramStart"/>
      <w:r w:rsidRPr="006428ED">
        <w:rPr>
          <w:rFonts w:hint="eastAsia"/>
          <w:color w:val="4D4F53"/>
          <w:spacing w:val="14"/>
          <w:sz w:val="24"/>
          <w:szCs w:val="24"/>
          <w:shd w:val="clear" w:color="auto" w:fill="FFFFFF"/>
        </w:rPr>
        <w:t>万亿</w:t>
      </w:r>
      <w:proofErr w:type="gramEnd"/>
      <w:r w:rsidRPr="006428ED">
        <w:rPr>
          <w:rFonts w:hint="eastAsia"/>
          <w:color w:val="4D4F53"/>
          <w:spacing w:val="14"/>
          <w:sz w:val="24"/>
          <w:szCs w:val="24"/>
          <w:shd w:val="clear" w:color="auto" w:fill="FFFFFF"/>
        </w:rPr>
        <w:t>元人民币，历史上首次突破</w:t>
      </w:r>
      <w:r w:rsidRPr="006428ED">
        <w:rPr>
          <w:rFonts w:hint="eastAsia"/>
          <w:color w:val="4D4F53"/>
          <w:spacing w:val="14"/>
          <w:sz w:val="24"/>
          <w:szCs w:val="24"/>
          <w:shd w:val="clear" w:color="auto" w:fill="FFFFFF"/>
        </w:rPr>
        <w:t>100</w:t>
      </w:r>
      <w:proofErr w:type="gramStart"/>
      <w:r w:rsidRPr="006428ED">
        <w:rPr>
          <w:rFonts w:hint="eastAsia"/>
          <w:color w:val="4D4F53"/>
          <w:spacing w:val="14"/>
          <w:sz w:val="24"/>
          <w:szCs w:val="24"/>
          <w:shd w:val="clear" w:color="auto" w:fill="FFFFFF"/>
        </w:rPr>
        <w:t>万亿</w:t>
      </w:r>
      <w:proofErr w:type="gramEnd"/>
      <w:r w:rsidRPr="006428ED">
        <w:rPr>
          <w:rFonts w:hint="eastAsia"/>
          <w:color w:val="4D4F53"/>
          <w:spacing w:val="14"/>
          <w:sz w:val="24"/>
          <w:szCs w:val="24"/>
          <w:shd w:val="clear" w:color="auto" w:fill="FFFFFF"/>
        </w:rPr>
        <w:t>，比上年增长</w:t>
      </w:r>
      <w:r w:rsidRPr="006428ED">
        <w:rPr>
          <w:rFonts w:hint="eastAsia"/>
          <w:color w:val="4D4F53"/>
          <w:spacing w:val="14"/>
          <w:sz w:val="24"/>
          <w:szCs w:val="24"/>
          <w:shd w:val="clear" w:color="auto" w:fill="FFFFFF"/>
        </w:rPr>
        <w:t>2.3%</w:t>
      </w:r>
      <w:r w:rsidRPr="006428ED">
        <w:rPr>
          <w:rFonts w:hint="eastAsia"/>
          <w:color w:val="4D4F53"/>
          <w:spacing w:val="14"/>
          <w:sz w:val="24"/>
          <w:szCs w:val="24"/>
          <w:shd w:val="clear" w:color="auto" w:fill="FFFFFF"/>
        </w:rPr>
        <w:t>。粮食产量再创新高，工业生产持续发展，服务业逐步恢复，对外贸易实现正增长，居民收入增长与经济增长基本同步。国民经济运行稳定恢复，主要目标完成好于预期。</w:t>
      </w:r>
    </w:p>
    <w:p w:rsidR="006428ED" w:rsidRPr="006428ED" w:rsidRDefault="006428ED" w:rsidP="006428ED">
      <w:pPr>
        <w:ind w:firstLine="615"/>
        <w:rPr>
          <w:rFonts w:hint="eastAsia"/>
          <w:color w:val="4D4F53"/>
          <w:spacing w:val="14"/>
          <w:sz w:val="24"/>
          <w:szCs w:val="24"/>
          <w:shd w:val="clear" w:color="auto" w:fill="FFFFFF"/>
        </w:rPr>
      </w:pPr>
      <w:r w:rsidRPr="006428ED">
        <w:rPr>
          <w:rFonts w:hint="eastAsia"/>
          <w:color w:val="4D4F53"/>
          <w:spacing w:val="14"/>
          <w:sz w:val="24"/>
          <w:szCs w:val="24"/>
          <w:shd w:val="clear" w:color="auto" w:fill="FFFFFF"/>
        </w:rPr>
        <w:t>在发布的众多数据中，</w:t>
      </w:r>
      <w:proofErr w:type="gramStart"/>
      <w:r w:rsidRPr="006428ED">
        <w:rPr>
          <w:rFonts w:hint="eastAsia"/>
          <w:color w:val="4D4F53"/>
          <w:spacing w:val="14"/>
          <w:sz w:val="24"/>
          <w:szCs w:val="24"/>
          <w:shd w:val="clear" w:color="auto" w:fill="FFFFFF"/>
        </w:rPr>
        <w:t>涉粮食</w:t>
      </w:r>
      <w:proofErr w:type="gramEnd"/>
      <w:r w:rsidRPr="006428ED">
        <w:rPr>
          <w:rFonts w:hint="eastAsia"/>
          <w:color w:val="4D4F53"/>
          <w:spacing w:val="14"/>
          <w:sz w:val="24"/>
          <w:szCs w:val="24"/>
          <w:shd w:val="clear" w:color="auto" w:fill="FFFFFF"/>
        </w:rPr>
        <w:t>产量、工业生产、服务业、固定资产投资、对外贸易等多项指标呈增长态势。</w:t>
      </w:r>
      <w:r w:rsidRPr="006428ED">
        <w:rPr>
          <w:rFonts w:hint="eastAsia"/>
          <w:color w:val="4D4F53"/>
          <w:spacing w:val="14"/>
          <w:sz w:val="24"/>
          <w:szCs w:val="24"/>
          <w:shd w:val="clear" w:color="auto" w:fill="FFFFFF"/>
        </w:rPr>
        <w:t>2020</w:t>
      </w:r>
      <w:r w:rsidRPr="006428ED">
        <w:rPr>
          <w:rFonts w:hint="eastAsia"/>
          <w:color w:val="4D4F53"/>
          <w:spacing w:val="14"/>
          <w:sz w:val="24"/>
          <w:szCs w:val="24"/>
          <w:shd w:val="clear" w:color="auto" w:fill="FFFFFF"/>
        </w:rPr>
        <w:t>年全国粮食总产量</w:t>
      </w:r>
      <w:r w:rsidRPr="006428ED">
        <w:rPr>
          <w:rFonts w:hint="eastAsia"/>
          <w:color w:val="4D4F53"/>
          <w:spacing w:val="14"/>
          <w:sz w:val="24"/>
          <w:szCs w:val="24"/>
          <w:shd w:val="clear" w:color="auto" w:fill="FFFFFF"/>
        </w:rPr>
        <w:t>66949</w:t>
      </w:r>
      <w:r w:rsidRPr="006428ED">
        <w:rPr>
          <w:rFonts w:hint="eastAsia"/>
          <w:color w:val="4D4F53"/>
          <w:spacing w:val="14"/>
          <w:sz w:val="24"/>
          <w:szCs w:val="24"/>
          <w:shd w:val="clear" w:color="auto" w:fill="FFFFFF"/>
        </w:rPr>
        <w:t>万吨，比上年增长</w:t>
      </w:r>
      <w:r w:rsidRPr="006428ED">
        <w:rPr>
          <w:rFonts w:hint="eastAsia"/>
          <w:color w:val="4D4F53"/>
          <w:spacing w:val="14"/>
          <w:sz w:val="24"/>
          <w:szCs w:val="24"/>
          <w:shd w:val="clear" w:color="auto" w:fill="FFFFFF"/>
        </w:rPr>
        <w:t>0.9%</w:t>
      </w:r>
      <w:r w:rsidRPr="006428ED">
        <w:rPr>
          <w:rFonts w:hint="eastAsia"/>
          <w:color w:val="4D4F53"/>
          <w:spacing w:val="14"/>
          <w:sz w:val="24"/>
          <w:szCs w:val="24"/>
          <w:shd w:val="clear" w:color="auto" w:fill="FFFFFF"/>
        </w:rPr>
        <w:t>，增产</w:t>
      </w:r>
      <w:r w:rsidRPr="006428ED">
        <w:rPr>
          <w:rFonts w:hint="eastAsia"/>
          <w:color w:val="4D4F53"/>
          <w:spacing w:val="14"/>
          <w:sz w:val="24"/>
          <w:szCs w:val="24"/>
          <w:shd w:val="clear" w:color="auto" w:fill="FFFFFF"/>
        </w:rPr>
        <w:t>565</w:t>
      </w:r>
      <w:r w:rsidRPr="006428ED">
        <w:rPr>
          <w:rFonts w:hint="eastAsia"/>
          <w:color w:val="4D4F53"/>
          <w:spacing w:val="14"/>
          <w:sz w:val="24"/>
          <w:szCs w:val="24"/>
          <w:shd w:val="clear" w:color="auto" w:fill="FFFFFF"/>
        </w:rPr>
        <w:t>万吨</w:t>
      </w:r>
      <w:r w:rsidRPr="006428ED">
        <w:rPr>
          <w:rFonts w:hint="eastAsia"/>
          <w:color w:val="4D4F53"/>
          <w:spacing w:val="14"/>
          <w:sz w:val="24"/>
          <w:szCs w:val="24"/>
          <w:shd w:val="clear" w:color="auto" w:fill="FFFFFF"/>
        </w:rPr>
        <w:t>;</w:t>
      </w:r>
      <w:r w:rsidRPr="006428ED">
        <w:rPr>
          <w:rFonts w:hint="eastAsia"/>
          <w:color w:val="4D4F53"/>
          <w:spacing w:val="14"/>
          <w:sz w:val="24"/>
          <w:szCs w:val="24"/>
          <w:shd w:val="clear" w:color="auto" w:fill="FFFFFF"/>
        </w:rPr>
        <w:t>规模以上工业增加值比上年增长</w:t>
      </w:r>
      <w:r w:rsidRPr="006428ED">
        <w:rPr>
          <w:rFonts w:hint="eastAsia"/>
          <w:color w:val="4D4F53"/>
          <w:spacing w:val="14"/>
          <w:sz w:val="24"/>
          <w:szCs w:val="24"/>
          <w:shd w:val="clear" w:color="auto" w:fill="FFFFFF"/>
        </w:rPr>
        <w:t>2.8%</w:t>
      </w:r>
      <w:r w:rsidRPr="006428ED">
        <w:rPr>
          <w:rFonts w:hint="eastAsia"/>
          <w:color w:val="4D4F53"/>
          <w:spacing w:val="14"/>
          <w:sz w:val="24"/>
          <w:szCs w:val="24"/>
          <w:shd w:val="clear" w:color="auto" w:fill="FFFFFF"/>
        </w:rPr>
        <w:t>，高技术制造业和装备制造业增加值分别比上年增长</w:t>
      </w:r>
      <w:r w:rsidRPr="006428ED">
        <w:rPr>
          <w:rFonts w:hint="eastAsia"/>
          <w:color w:val="4D4F53"/>
          <w:spacing w:val="14"/>
          <w:sz w:val="24"/>
          <w:szCs w:val="24"/>
          <w:shd w:val="clear" w:color="auto" w:fill="FFFFFF"/>
        </w:rPr>
        <w:t>7.1%</w:t>
      </w:r>
      <w:r w:rsidRPr="006428ED">
        <w:rPr>
          <w:rFonts w:hint="eastAsia"/>
          <w:color w:val="4D4F53"/>
          <w:spacing w:val="14"/>
          <w:sz w:val="24"/>
          <w:szCs w:val="24"/>
          <w:shd w:val="clear" w:color="auto" w:fill="FFFFFF"/>
        </w:rPr>
        <w:t>、</w:t>
      </w:r>
      <w:r w:rsidRPr="006428ED">
        <w:rPr>
          <w:rFonts w:hint="eastAsia"/>
          <w:color w:val="4D4F53"/>
          <w:spacing w:val="14"/>
          <w:sz w:val="24"/>
          <w:szCs w:val="24"/>
          <w:shd w:val="clear" w:color="auto" w:fill="FFFFFF"/>
        </w:rPr>
        <w:t>6.6%;</w:t>
      </w:r>
      <w:r w:rsidRPr="006428ED">
        <w:rPr>
          <w:rFonts w:hint="eastAsia"/>
          <w:color w:val="4D4F53"/>
          <w:spacing w:val="14"/>
          <w:sz w:val="24"/>
          <w:szCs w:val="24"/>
          <w:shd w:val="clear" w:color="auto" w:fill="FFFFFF"/>
        </w:rPr>
        <w:t>信息传输、软件和信息技术服务业，金融业增加值分别增长</w:t>
      </w:r>
      <w:r w:rsidRPr="006428ED">
        <w:rPr>
          <w:rFonts w:hint="eastAsia"/>
          <w:color w:val="4D4F53"/>
          <w:spacing w:val="14"/>
          <w:sz w:val="24"/>
          <w:szCs w:val="24"/>
          <w:shd w:val="clear" w:color="auto" w:fill="FFFFFF"/>
        </w:rPr>
        <w:t>16.9%</w:t>
      </w:r>
      <w:r w:rsidRPr="006428ED">
        <w:rPr>
          <w:rFonts w:hint="eastAsia"/>
          <w:color w:val="4D4F53"/>
          <w:spacing w:val="14"/>
          <w:sz w:val="24"/>
          <w:szCs w:val="24"/>
          <w:shd w:val="clear" w:color="auto" w:fill="FFFFFF"/>
        </w:rPr>
        <w:t>、</w:t>
      </w:r>
      <w:r w:rsidRPr="006428ED">
        <w:rPr>
          <w:rFonts w:hint="eastAsia"/>
          <w:color w:val="4D4F53"/>
          <w:spacing w:val="14"/>
          <w:sz w:val="24"/>
          <w:szCs w:val="24"/>
          <w:shd w:val="clear" w:color="auto" w:fill="FFFFFF"/>
        </w:rPr>
        <w:t>7.0%</w:t>
      </w:r>
      <w:r w:rsidRPr="006428ED">
        <w:rPr>
          <w:rFonts w:hint="eastAsia"/>
          <w:color w:val="4D4F53"/>
          <w:spacing w:val="14"/>
          <w:sz w:val="24"/>
          <w:szCs w:val="24"/>
          <w:shd w:val="clear" w:color="auto" w:fill="FFFFFF"/>
        </w:rPr>
        <w:t>，增速分别快于第三产业</w:t>
      </w:r>
      <w:r w:rsidRPr="006428ED">
        <w:rPr>
          <w:rFonts w:hint="eastAsia"/>
          <w:color w:val="4D4F53"/>
          <w:spacing w:val="14"/>
          <w:sz w:val="24"/>
          <w:szCs w:val="24"/>
          <w:shd w:val="clear" w:color="auto" w:fill="FFFFFF"/>
        </w:rPr>
        <w:t>14.8</w:t>
      </w:r>
      <w:r w:rsidRPr="006428ED">
        <w:rPr>
          <w:rFonts w:hint="eastAsia"/>
          <w:color w:val="4D4F53"/>
          <w:spacing w:val="14"/>
          <w:sz w:val="24"/>
          <w:szCs w:val="24"/>
          <w:shd w:val="clear" w:color="auto" w:fill="FFFFFF"/>
        </w:rPr>
        <w:t>、</w:t>
      </w:r>
      <w:r w:rsidRPr="006428ED">
        <w:rPr>
          <w:rFonts w:hint="eastAsia"/>
          <w:color w:val="4D4F53"/>
          <w:spacing w:val="14"/>
          <w:sz w:val="24"/>
          <w:szCs w:val="24"/>
          <w:shd w:val="clear" w:color="auto" w:fill="FFFFFF"/>
        </w:rPr>
        <w:t>4.9</w:t>
      </w:r>
      <w:r w:rsidRPr="006428ED">
        <w:rPr>
          <w:rFonts w:hint="eastAsia"/>
          <w:color w:val="4D4F53"/>
          <w:spacing w:val="14"/>
          <w:sz w:val="24"/>
          <w:szCs w:val="24"/>
          <w:shd w:val="clear" w:color="auto" w:fill="FFFFFF"/>
        </w:rPr>
        <w:t>个百分点，增势良好</w:t>
      </w:r>
      <w:r w:rsidRPr="006428ED">
        <w:rPr>
          <w:rFonts w:hint="eastAsia"/>
          <w:color w:val="4D4F53"/>
          <w:spacing w:val="14"/>
          <w:sz w:val="24"/>
          <w:szCs w:val="24"/>
          <w:shd w:val="clear" w:color="auto" w:fill="FFFFFF"/>
        </w:rPr>
        <w:t>;</w:t>
      </w:r>
      <w:r w:rsidRPr="006428ED">
        <w:rPr>
          <w:rFonts w:hint="eastAsia"/>
          <w:color w:val="4D4F53"/>
          <w:spacing w:val="14"/>
          <w:sz w:val="24"/>
          <w:szCs w:val="24"/>
          <w:shd w:val="clear" w:color="auto" w:fill="FFFFFF"/>
        </w:rPr>
        <w:t>固定资产投资稳步回升，达到</w:t>
      </w:r>
      <w:r w:rsidRPr="006428ED">
        <w:rPr>
          <w:rFonts w:hint="eastAsia"/>
          <w:color w:val="4D4F53"/>
          <w:spacing w:val="14"/>
          <w:sz w:val="24"/>
          <w:szCs w:val="24"/>
          <w:shd w:val="clear" w:color="auto" w:fill="FFFFFF"/>
        </w:rPr>
        <w:t>(</w:t>
      </w:r>
      <w:r w:rsidRPr="006428ED">
        <w:rPr>
          <w:rFonts w:hint="eastAsia"/>
          <w:color w:val="4D4F53"/>
          <w:spacing w:val="14"/>
          <w:sz w:val="24"/>
          <w:szCs w:val="24"/>
          <w:shd w:val="clear" w:color="auto" w:fill="FFFFFF"/>
        </w:rPr>
        <w:t>不含农户</w:t>
      </w:r>
      <w:r w:rsidRPr="006428ED">
        <w:rPr>
          <w:rFonts w:hint="eastAsia"/>
          <w:color w:val="4D4F53"/>
          <w:spacing w:val="14"/>
          <w:sz w:val="24"/>
          <w:szCs w:val="24"/>
          <w:shd w:val="clear" w:color="auto" w:fill="FFFFFF"/>
        </w:rPr>
        <w:t>)518907</w:t>
      </w:r>
      <w:r w:rsidRPr="006428ED">
        <w:rPr>
          <w:rFonts w:hint="eastAsia"/>
          <w:color w:val="4D4F53"/>
          <w:spacing w:val="14"/>
          <w:sz w:val="24"/>
          <w:szCs w:val="24"/>
          <w:shd w:val="clear" w:color="auto" w:fill="FFFFFF"/>
        </w:rPr>
        <w:t>亿元，比上年增长</w:t>
      </w:r>
      <w:r w:rsidRPr="006428ED">
        <w:rPr>
          <w:rFonts w:hint="eastAsia"/>
          <w:color w:val="4D4F53"/>
          <w:spacing w:val="14"/>
          <w:sz w:val="24"/>
          <w:szCs w:val="24"/>
          <w:shd w:val="clear" w:color="auto" w:fill="FFFFFF"/>
        </w:rPr>
        <w:t>2.9%;</w:t>
      </w:r>
      <w:r w:rsidRPr="006428ED">
        <w:rPr>
          <w:rFonts w:hint="eastAsia"/>
          <w:color w:val="4D4F53"/>
          <w:spacing w:val="14"/>
          <w:sz w:val="24"/>
          <w:szCs w:val="24"/>
          <w:shd w:val="clear" w:color="auto" w:fill="FFFFFF"/>
        </w:rPr>
        <w:t>对外贸易实现正增长，货物进出口总额</w:t>
      </w:r>
      <w:r w:rsidRPr="006428ED">
        <w:rPr>
          <w:rFonts w:hint="eastAsia"/>
          <w:color w:val="4D4F53"/>
          <w:spacing w:val="14"/>
          <w:sz w:val="24"/>
          <w:szCs w:val="24"/>
          <w:shd w:val="clear" w:color="auto" w:fill="FFFFFF"/>
        </w:rPr>
        <w:t>321557</w:t>
      </w:r>
      <w:r w:rsidRPr="006428ED">
        <w:rPr>
          <w:rFonts w:hint="eastAsia"/>
          <w:color w:val="4D4F53"/>
          <w:spacing w:val="14"/>
          <w:sz w:val="24"/>
          <w:szCs w:val="24"/>
          <w:shd w:val="clear" w:color="auto" w:fill="FFFFFF"/>
        </w:rPr>
        <w:t>亿元，比上年增长</w:t>
      </w:r>
      <w:r w:rsidRPr="006428ED">
        <w:rPr>
          <w:rFonts w:hint="eastAsia"/>
          <w:color w:val="4D4F53"/>
          <w:spacing w:val="14"/>
          <w:sz w:val="24"/>
          <w:szCs w:val="24"/>
          <w:shd w:val="clear" w:color="auto" w:fill="FFFFFF"/>
        </w:rPr>
        <w:t>1.9%</w:t>
      </w:r>
      <w:r w:rsidRPr="006428ED">
        <w:rPr>
          <w:rFonts w:hint="eastAsia"/>
          <w:color w:val="4D4F53"/>
          <w:spacing w:val="14"/>
          <w:sz w:val="24"/>
          <w:szCs w:val="24"/>
          <w:shd w:val="clear" w:color="auto" w:fill="FFFFFF"/>
        </w:rPr>
        <w:t>，其中，出口</w:t>
      </w:r>
      <w:r w:rsidRPr="006428ED">
        <w:rPr>
          <w:rFonts w:hint="eastAsia"/>
          <w:color w:val="4D4F53"/>
          <w:spacing w:val="14"/>
          <w:sz w:val="24"/>
          <w:szCs w:val="24"/>
          <w:shd w:val="clear" w:color="auto" w:fill="FFFFFF"/>
        </w:rPr>
        <w:t>179326</w:t>
      </w:r>
      <w:r w:rsidRPr="006428ED">
        <w:rPr>
          <w:rFonts w:hint="eastAsia"/>
          <w:color w:val="4D4F53"/>
          <w:spacing w:val="14"/>
          <w:sz w:val="24"/>
          <w:szCs w:val="24"/>
          <w:shd w:val="clear" w:color="auto" w:fill="FFFFFF"/>
        </w:rPr>
        <w:t>亿元，增长</w:t>
      </w:r>
      <w:r w:rsidRPr="006428ED">
        <w:rPr>
          <w:rFonts w:hint="eastAsia"/>
          <w:color w:val="4D4F53"/>
          <w:spacing w:val="14"/>
          <w:sz w:val="24"/>
          <w:szCs w:val="24"/>
          <w:shd w:val="clear" w:color="auto" w:fill="FFFFFF"/>
        </w:rPr>
        <w:t>4.0%</w:t>
      </w:r>
      <w:r w:rsidRPr="006428ED">
        <w:rPr>
          <w:rFonts w:hint="eastAsia"/>
          <w:color w:val="4D4F53"/>
          <w:spacing w:val="14"/>
          <w:sz w:val="24"/>
          <w:szCs w:val="24"/>
          <w:shd w:val="clear" w:color="auto" w:fill="FFFFFF"/>
        </w:rPr>
        <w:t>。</w:t>
      </w:r>
    </w:p>
    <w:p w:rsidR="006428ED" w:rsidRPr="006428ED" w:rsidRDefault="006428ED" w:rsidP="006428ED">
      <w:pPr>
        <w:ind w:firstLine="615"/>
        <w:rPr>
          <w:sz w:val="24"/>
          <w:szCs w:val="24"/>
        </w:rPr>
      </w:pPr>
      <w:r w:rsidRPr="006428ED">
        <w:rPr>
          <w:rFonts w:hint="eastAsia"/>
          <w:color w:val="4D4F53"/>
          <w:spacing w:val="14"/>
          <w:sz w:val="24"/>
          <w:szCs w:val="24"/>
          <w:shd w:val="clear" w:color="auto" w:fill="FFFFFF"/>
        </w:rPr>
        <w:t>国家统计局局长宁吉</w:t>
      </w:r>
      <w:proofErr w:type="gramStart"/>
      <w:r w:rsidRPr="006428ED">
        <w:rPr>
          <w:rFonts w:hint="eastAsia"/>
          <w:color w:val="4D4F53"/>
          <w:spacing w:val="14"/>
          <w:sz w:val="24"/>
          <w:szCs w:val="24"/>
          <w:shd w:val="clear" w:color="auto" w:fill="FFFFFF"/>
        </w:rPr>
        <w:t>喆</w:t>
      </w:r>
      <w:proofErr w:type="gramEnd"/>
      <w:r w:rsidRPr="006428ED">
        <w:rPr>
          <w:rFonts w:hint="eastAsia"/>
          <w:color w:val="4D4F53"/>
          <w:spacing w:val="14"/>
          <w:sz w:val="24"/>
          <w:szCs w:val="24"/>
          <w:shd w:val="clear" w:color="auto" w:fill="FFFFFF"/>
        </w:rPr>
        <w:t>表示，全球新冠肺炎疫情扩散蔓延的态势仍在持续，近期国内出现散发病例乃至局部聚集性疫情，为经济持续恢复带来不确定性，但影响是可控的，要精准有效实施财政、货币、就业、投资、消费、区域、产业等政策，把经济运行保持在合理的区间，实现持续健康发展。</w:t>
      </w:r>
      <w:r w:rsidRPr="006428ED">
        <w:rPr>
          <w:rFonts w:ascii="MS Mincho" w:eastAsia="MS Mincho" w:hAnsi="MS Mincho" w:cs="MS Mincho" w:hint="eastAsia"/>
          <w:color w:val="4D4F53"/>
          <w:spacing w:val="14"/>
          <w:sz w:val="24"/>
          <w:szCs w:val="24"/>
          <w:shd w:val="clear" w:color="auto" w:fill="FFFFFF"/>
        </w:rPr>
        <w:t> </w:t>
      </w:r>
      <w:r w:rsidRPr="006428ED">
        <w:rPr>
          <w:rFonts w:ascii="MS Mincho" w:eastAsia="MS Mincho" w:hAnsi="MS Mincho" w:cs="MS Mincho" w:hint="eastAsia"/>
          <w:color w:val="4D4F53"/>
          <w:spacing w:val="14"/>
          <w:sz w:val="24"/>
          <w:szCs w:val="24"/>
          <w:shd w:val="clear" w:color="auto" w:fill="FFFFFF"/>
        </w:rPr>
        <w:t> </w:t>
      </w:r>
      <w:r w:rsidRPr="006428ED">
        <w:rPr>
          <w:rFonts w:hint="eastAsia"/>
          <w:color w:val="4D4F53"/>
          <w:spacing w:val="14"/>
          <w:sz w:val="24"/>
          <w:szCs w:val="24"/>
          <w:shd w:val="clear" w:color="auto" w:fill="FFFFFF"/>
        </w:rPr>
        <w:t>“</w:t>
      </w:r>
      <w:r w:rsidRPr="006428ED">
        <w:rPr>
          <w:rFonts w:hint="eastAsia"/>
          <w:color w:val="4D4F53"/>
          <w:spacing w:val="14"/>
          <w:sz w:val="24"/>
          <w:szCs w:val="24"/>
          <w:shd w:val="clear" w:color="auto" w:fill="FFFFFF"/>
        </w:rPr>
        <w:t>2020</w:t>
      </w:r>
      <w:r w:rsidRPr="006428ED">
        <w:rPr>
          <w:rFonts w:hint="eastAsia"/>
          <w:color w:val="4D4F53"/>
          <w:spacing w:val="14"/>
          <w:sz w:val="24"/>
          <w:szCs w:val="24"/>
          <w:shd w:val="clear" w:color="auto" w:fill="FFFFFF"/>
        </w:rPr>
        <w:t>年，我国率先控制住疫情，率先复工复产，率先实现经济正增长，经济总量破百万亿元，经济实力、科技实力、综合国力跃上新的大台阶。”</w:t>
      </w:r>
    </w:p>
    <w:sectPr w:rsidR="006428ED" w:rsidRPr="006428ED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2865DE"/>
    <w:rsid w:val="00132465"/>
    <w:rsid w:val="00274F35"/>
    <w:rsid w:val="002865DE"/>
    <w:rsid w:val="006428ED"/>
    <w:rsid w:val="007B2C96"/>
    <w:rsid w:val="00A029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46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99</Words>
  <Characters>570</Characters>
  <Application>Microsoft Office Word</Application>
  <DocSecurity>0</DocSecurity>
  <Lines>4</Lines>
  <Paragraphs>1</Paragraphs>
  <ScaleCrop>false</ScaleCrop>
  <Company>微软中国</Company>
  <LinksUpToDate>false</LinksUpToDate>
  <CharactersWithSpaces>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2021-01-20T01:06:00Z</dcterms:created>
  <dcterms:modified xsi:type="dcterms:W3CDTF">2021-01-20T01:24:00Z</dcterms:modified>
</cp:coreProperties>
</file>