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473"/>
        </w:tabs>
        <w:bidi w:val="0"/>
        <w:spacing w:line="240" w:lineRule="auto"/>
        <w:jc w:val="left"/>
        <w:rPr>
          <w:rFonts w:hint="default"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足球教案</w:t>
      </w:r>
      <w:r>
        <w:rPr>
          <w:rFonts w:hint="eastAsia" w:asciiTheme="minorEastAsia" w:hAnsiTheme="minorEastAsia" w:cstheme="minorEastAsia"/>
          <w:kern w:val="2"/>
          <w:sz w:val="21"/>
          <w:szCs w:val="21"/>
          <w:lang w:val="en-US" w:eastAsia="zh-CN" w:bidi="ar-SA"/>
        </w:rPr>
        <w:t>（第十七节课），新授课</w:t>
      </w:r>
    </w:p>
    <w:tbl>
      <w:tblPr>
        <w:tblStyle w:val="2"/>
        <w:tblW w:w="10550" w:type="dxa"/>
        <w:tblInd w:w="-9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5"/>
        <w:gridCol w:w="1200"/>
        <w:gridCol w:w="1200"/>
        <w:gridCol w:w="67"/>
        <w:gridCol w:w="378"/>
        <w:gridCol w:w="189"/>
        <w:gridCol w:w="228"/>
        <w:gridCol w:w="480"/>
        <w:gridCol w:w="170"/>
        <w:gridCol w:w="588"/>
        <w:gridCol w:w="439"/>
        <w:gridCol w:w="1625"/>
        <w:gridCol w:w="879"/>
        <w:gridCol w:w="244"/>
        <w:gridCol w:w="926"/>
        <w:gridCol w:w="137"/>
        <w:gridCol w:w="400"/>
        <w:gridCol w:w="337"/>
        <w:gridCol w:w="3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25" w:type="dxa"/>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学校</w:t>
            </w:r>
          </w:p>
        </w:tc>
        <w:tc>
          <w:tcPr>
            <w:tcW w:w="1200" w:type="dxa"/>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中大附中</w:t>
            </w:r>
          </w:p>
        </w:tc>
        <w:tc>
          <w:tcPr>
            <w:tcW w:w="1267" w:type="dxa"/>
            <w:gridSpan w:val="2"/>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人数</w:t>
            </w:r>
          </w:p>
        </w:tc>
        <w:tc>
          <w:tcPr>
            <w:tcW w:w="567" w:type="dxa"/>
            <w:gridSpan w:val="2"/>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37</w:t>
            </w:r>
          </w:p>
        </w:tc>
        <w:tc>
          <w:tcPr>
            <w:tcW w:w="708" w:type="dxa"/>
            <w:gridSpan w:val="2"/>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班级</w:t>
            </w:r>
          </w:p>
        </w:tc>
        <w:tc>
          <w:tcPr>
            <w:tcW w:w="1197" w:type="dxa"/>
            <w:gridSpan w:val="3"/>
          </w:tcPr>
          <w:p>
            <w:pPr>
              <w:spacing w:line="240" w:lineRule="auto"/>
              <w:jc w:val="both"/>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初</w:t>
            </w:r>
            <w:r>
              <w:rPr>
                <w:rFonts w:hint="eastAsia" w:asciiTheme="minorEastAsia" w:hAnsiTheme="minorEastAsia" w:cstheme="minorEastAsia"/>
                <w:sz w:val="21"/>
                <w:szCs w:val="21"/>
                <w:lang w:val="en-US" w:eastAsia="zh-CN"/>
              </w:rPr>
              <w:t>二</w:t>
            </w:r>
          </w:p>
        </w:tc>
        <w:tc>
          <w:tcPr>
            <w:tcW w:w="1625" w:type="dxa"/>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单元课次</w:t>
            </w:r>
          </w:p>
        </w:tc>
        <w:tc>
          <w:tcPr>
            <w:tcW w:w="879" w:type="dxa"/>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第5</w:t>
            </w:r>
            <w:r>
              <w:rPr>
                <w:rFonts w:hint="eastAsia" w:asciiTheme="minorEastAsia" w:hAnsiTheme="minorEastAsia" w:eastAsiaTheme="minorEastAsia" w:cstheme="minorEastAsia"/>
                <w:sz w:val="21"/>
                <w:szCs w:val="21"/>
                <w:lang w:val="en-US" w:eastAsia="zh-CN"/>
              </w:rPr>
              <w:t>次</w:t>
            </w:r>
          </w:p>
        </w:tc>
        <w:tc>
          <w:tcPr>
            <w:tcW w:w="1170" w:type="dxa"/>
            <w:gridSpan w:val="2"/>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执教教师</w:t>
            </w:r>
          </w:p>
        </w:tc>
        <w:tc>
          <w:tcPr>
            <w:tcW w:w="1212" w:type="dxa"/>
            <w:gridSpan w:val="4"/>
          </w:tcPr>
          <w:p>
            <w:pPr>
              <w:spacing w:line="240" w:lineRule="auto"/>
              <w:jc w:val="center"/>
              <w:rPr>
                <w:rFonts w:hint="eastAsia" w:asciiTheme="minorEastAsia" w:hAnsiTheme="minorEastAsia" w:eastAsiaTheme="minorEastAsia" w:cstheme="minorEastAsia"/>
                <w:sz w:val="21"/>
                <w:szCs w:val="21"/>
                <w:lang w:val="en-US" w:eastAsia="zh-CN"/>
              </w:rPr>
            </w:pPr>
            <w:bookmarkStart w:id="0" w:name="_GoBack"/>
            <w:bookmarkEnd w:id="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学习目标</w:t>
            </w:r>
          </w:p>
        </w:tc>
        <w:tc>
          <w:tcPr>
            <w:tcW w:w="9825" w:type="dxa"/>
            <w:gridSpan w:val="18"/>
          </w:tcPr>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技能目标：</w:t>
            </w:r>
            <w:r>
              <w:rPr>
                <w:rFonts w:hint="eastAsia" w:asciiTheme="minorEastAsia" w:hAnsiTheme="minorEastAsia" w:cstheme="minorEastAsia"/>
                <w:sz w:val="21"/>
                <w:szCs w:val="21"/>
                <w:lang w:val="en-US" w:eastAsia="zh-CN"/>
              </w:rPr>
              <w:t>使学生了解简单的传接球的战术配合和位置配合；</w:t>
            </w:r>
          </w:p>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体能目标：</w:t>
            </w:r>
            <w:r>
              <w:rPr>
                <w:rFonts w:hint="eastAsia" w:asciiTheme="minorEastAsia" w:hAnsiTheme="minorEastAsia" w:cstheme="minorEastAsia"/>
                <w:sz w:val="21"/>
                <w:szCs w:val="21"/>
                <w:lang w:val="en-US" w:eastAsia="zh-CN"/>
              </w:rPr>
              <w:t>锻炼学生的反应和跑动能力；</w:t>
            </w:r>
          </w:p>
          <w:p>
            <w:pPr>
              <w:widowControl w:val="0"/>
              <w:numPr>
                <w:ilvl w:val="0"/>
                <w:numId w:val="0"/>
              </w:numPr>
              <w:spacing w:line="240" w:lineRule="auto"/>
              <w:jc w:val="both"/>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心理、社会适应：</w:t>
            </w:r>
            <w:r>
              <w:rPr>
                <w:rFonts w:hint="eastAsia" w:asciiTheme="minorEastAsia" w:hAnsiTheme="minorEastAsia" w:eastAsiaTheme="minorEastAsia" w:cstheme="minorEastAsia"/>
                <w:sz w:val="21"/>
                <w:szCs w:val="21"/>
                <w:lang w:val="en-US" w:eastAsia="zh-CN"/>
              </w:rPr>
              <w:t>增强学生在</w:t>
            </w:r>
            <w:r>
              <w:rPr>
                <w:rFonts w:hint="eastAsia" w:asciiTheme="minorEastAsia" w:hAnsiTheme="minorEastAsia" w:cstheme="minorEastAsia"/>
                <w:sz w:val="21"/>
                <w:szCs w:val="21"/>
                <w:lang w:val="en-US" w:eastAsia="zh-CN"/>
              </w:rPr>
              <w:t>团队配合和单独思考的能力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学习内容</w:t>
            </w:r>
          </w:p>
        </w:tc>
        <w:tc>
          <w:tcPr>
            <w:tcW w:w="9825" w:type="dxa"/>
            <w:gridSpan w:val="18"/>
          </w:tcPr>
          <w:p>
            <w:pPr>
              <w:numPr>
                <w:ilvl w:val="0"/>
                <w:numId w:val="1"/>
              </w:num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球性练习和小游戏</w:t>
            </w:r>
          </w:p>
          <w:p>
            <w:pPr>
              <w:numPr>
                <w:ilvl w:val="0"/>
                <w:numId w:val="1"/>
              </w:num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战术和站位配合训练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重点</w:t>
            </w:r>
          </w:p>
        </w:tc>
        <w:tc>
          <w:tcPr>
            <w:tcW w:w="3262" w:type="dxa"/>
            <w:gridSpan w:val="6"/>
          </w:tcPr>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战术和站位配合训练</w:t>
            </w:r>
          </w:p>
        </w:tc>
        <w:tc>
          <w:tcPr>
            <w:tcW w:w="650" w:type="dxa"/>
            <w:gridSpan w:val="2"/>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难点</w:t>
            </w:r>
          </w:p>
        </w:tc>
        <w:tc>
          <w:tcPr>
            <w:tcW w:w="5913" w:type="dxa"/>
            <w:gridSpan w:val="10"/>
          </w:tcPr>
          <w:p>
            <w:pPr>
              <w:spacing w:line="240" w:lineRule="auto"/>
              <w:rPr>
                <w:rFonts w:hint="default" w:asciiTheme="minorEastAsia" w:hAnsiTheme="minorEastAsia" w:cstheme="minorEastAsia"/>
                <w:b w:val="0"/>
                <w:bCs w:val="0"/>
                <w:sz w:val="21"/>
                <w:szCs w:val="21"/>
                <w:lang w:val="en-US" w:eastAsia="zh-CN"/>
              </w:rPr>
            </w:pPr>
            <w:r>
              <w:rPr>
                <w:rFonts w:hint="eastAsia" w:asciiTheme="minorEastAsia" w:hAnsiTheme="minorEastAsia" w:cstheme="minorEastAsia"/>
                <w:b w:val="0"/>
                <w:bCs w:val="0"/>
                <w:sz w:val="21"/>
                <w:szCs w:val="21"/>
                <w:lang w:val="en-US" w:eastAsia="zh-CN"/>
              </w:rPr>
              <w:t>部分同学因为脚下技术不够好，传接球很难配合起来。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场地器材</w:t>
            </w:r>
          </w:p>
        </w:tc>
        <w:tc>
          <w:tcPr>
            <w:tcW w:w="9825" w:type="dxa"/>
            <w:gridSpan w:val="18"/>
          </w:tcPr>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足球每人一个，标志杆</w:t>
            </w:r>
            <w:r>
              <w:rPr>
                <w:rFonts w:hint="eastAsia" w:asciiTheme="minorEastAsia" w:hAnsiTheme="minorEastAsia" w:cstheme="minorEastAsia"/>
                <w:sz w:val="21"/>
                <w:szCs w:val="21"/>
                <w:lang w:val="en-US" w:eastAsia="zh-CN"/>
              </w:rPr>
              <w:t>2</w:t>
            </w:r>
            <w:r>
              <w:rPr>
                <w:rFonts w:hint="eastAsia" w:asciiTheme="minorEastAsia" w:hAnsiTheme="minorEastAsia" w:eastAsiaTheme="minorEastAsia" w:cstheme="minorEastAsia"/>
                <w:sz w:val="21"/>
                <w:szCs w:val="21"/>
                <w:lang w:val="en-US" w:eastAsia="zh-CN"/>
              </w:rPr>
              <w:t>2个，标志碟24个</w:t>
            </w:r>
            <w:r>
              <w:rPr>
                <w:rFonts w:hint="eastAsia" w:asciiTheme="minorEastAsia" w:hAnsiTheme="minorEastAsia" w:cstheme="minorEastAsia"/>
                <w:sz w:val="21"/>
                <w:szCs w:val="21"/>
                <w:lang w:val="en-US" w:eastAsia="zh-CN"/>
              </w:rPr>
              <w:t>，小球们10个（两个标志杆组成）.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4"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安全措施</w:t>
            </w:r>
          </w:p>
        </w:tc>
        <w:tc>
          <w:tcPr>
            <w:tcW w:w="9825" w:type="dxa"/>
            <w:gridSpan w:val="18"/>
          </w:tcPr>
          <w:p>
            <w:pPr>
              <w:numPr>
                <w:ilvl w:val="0"/>
                <w:numId w:val="2"/>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对学生进行安全教育，加强学生组织纪律性，遵守课堂纪律。</w:t>
            </w:r>
          </w:p>
          <w:p>
            <w:pPr>
              <w:numPr>
                <w:ilvl w:val="0"/>
                <w:numId w:val="2"/>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引导学生充分做好准备活动，在组织教学的过程中活动空间适当</w:t>
            </w:r>
            <w:r>
              <w:rPr>
                <w:rFonts w:hint="eastAsia" w:asciiTheme="minorEastAsia" w:hAnsiTheme="minorEastAsia" w:eastAsiaTheme="minorEastAsia" w:cstheme="minorEastAsia"/>
                <w:sz w:val="21"/>
                <w:szCs w:val="21"/>
                <w:lang w:eastAsia="zh-CN"/>
              </w:rPr>
              <w:t>。</w:t>
            </w:r>
          </w:p>
          <w:p>
            <w:pPr>
              <w:numPr>
                <w:ilvl w:val="0"/>
                <w:numId w:val="2"/>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课前检查场地器材，时刻关注学生身体状况，有情况马上送医务室，视情况告知班主任，家长。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流程</w:t>
            </w:r>
          </w:p>
        </w:tc>
        <w:tc>
          <w:tcPr>
            <w:tcW w:w="9825" w:type="dxa"/>
            <w:gridSpan w:val="18"/>
          </w:tcPr>
          <w:p>
            <w:pPr>
              <w:numPr>
                <w:ilvl w:val="0"/>
                <w:numId w:val="3"/>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集合整队→</w:t>
            </w:r>
            <w:r>
              <w:rPr>
                <w:rFonts w:hint="eastAsia" w:asciiTheme="minorEastAsia" w:hAnsiTheme="minorEastAsia" w:eastAsiaTheme="minorEastAsia" w:cstheme="minorEastAsia"/>
                <w:sz w:val="21"/>
                <w:szCs w:val="21"/>
                <w:lang w:val="en-US" w:eastAsia="zh-CN"/>
              </w:rPr>
              <w:t>动态</w:t>
            </w:r>
            <w:r>
              <w:rPr>
                <w:rFonts w:hint="eastAsia" w:asciiTheme="minorEastAsia" w:hAnsiTheme="minorEastAsia" w:eastAsiaTheme="minorEastAsia" w:cstheme="minorEastAsia"/>
                <w:sz w:val="21"/>
                <w:szCs w:val="21"/>
              </w:rPr>
              <w:t>热身活动</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cstheme="minorEastAsia"/>
                <w:sz w:val="21"/>
                <w:szCs w:val="21"/>
                <w:lang w:val="en-US" w:eastAsia="zh-CN"/>
              </w:rPr>
              <w:t>球性练习（颠球）</w:t>
            </w:r>
            <w:r>
              <w:rPr>
                <w:rFonts w:hint="eastAsia" w:asciiTheme="minorEastAsia" w:hAnsiTheme="minorEastAsia" w:eastAsiaTheme="minorEastAsia" w:cstheme="minorEastAsia"/>
                <w:sz w:val="21"/>
                <w:szCs w:val="21"/>
              </w:rPr>
              <w:t>→</w:t>
            </w:r>
            <w:r>
              <w:rPr>
                <w:rFonts w:hint="eastAsia" w:asciiTheme="minorEastAsia" w:hAnsiTheme="minorEastAsia" w:cstheme="minorEastAsia"/>
                <w:sz w:val="21"/>
                <w:szCs w:val="21"/>
                <w:lang w:val="en-US" w:eastAsia="zh-CN"/>
              </w:rPr>
              <w:t>脚背停不同高度的球</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静态拉伸</w:t>
            </w:r>
            <w:r>
              <w:rPr>
                <w:rFonts w:hint="eastAsia" w:asciiTheme="minorEastAsia" w:hAnsiTheme="minorEastAsia" w:eastAsiaTheme="minorEastAsia" w:cstheme="minorEastAsia"/>
                <w:sz w:val="21"/>
                <w:szCs w:val="21"/>
              </w:rPr>
              <w:t>放松和小结。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725"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tc>
        <w:tc>
          <w:tcPr>
            <w:tcW w:w="2100" w:type="dxa"/>
            <w:gridSpan w:val="7"/>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2064" w:type="dxa"/>
            <w:gridSpan w:val="2"/>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tc>
        <w:tc>
          <w:tcPr>
            <w:tcW w:w="2186" w:type="dxa"/>
            <w:gridSpan w:val="4"/>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075" w:type="dxa"/>
            <w:gridSpan w:val="3"/>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725"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2100" w:type="dxa"/>
            <w:gridSpan w:val="7"/>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2064" w:type="dxa"/>
            <w:gridSpan w:val="2"/>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2186" w:type="dxa"/>
            <w:gridSpan w:val="4"/>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400"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337"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338"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2" w:hRule="atLeast"/>
        </w:trPr>
        <w:tc>
          <w:tcPr>
            <w:tcW w:w="725"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堂</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常</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w:t>
            </w:r>
          </w:p>
        </w:tc>
        <w:tc>
          <w:tcPr>
            <w:tcW w:w="1200"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1、引导学生集中精神，培养集体主义精神和团队纪律。</w:t>
            </w:r>
          </w:p>
        </w:tc>
        <w:tc>
          <w:tcPr>
            <w:tcW w:w="1200"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1、体育委员集合，报告人数。</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2、师生问好。</w:t>
            </w: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tc>
        <w:tc>
          <w:tcPr>
            <w:tcW w:w="2100" w:type="dxa"/>
            <w:gridSpan w:val="7"/>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1、集合：快，静，齐</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精神饱满。</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2、足球是世界第一运动，也是一项非常有激情，年轻的运动项目。</w:t>
            </w:r>
          </w:p>
        </w:tc>
        <w:tc>
          <w:tcPr>
            <w:tcW w:w="2064" w:type="dxa"/>
            <w:gridSpan w:val="2"/>
            <w:vAlign w:val="top"/>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ind w:firstLine="630" w:firstLineChars="3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四列横队。</w:t>
            </w: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p>
        </w:tc>
        <w:tc>
          <w:tcPr>
            <w:tcW w:w="2186" w:type="dxa"/>
            <w:gridSpan w:val="4"/>
          </w:tcPr>
          <w:p>
            <w:pPr>
              <w:numPr>
                <w:ilvl w:val="0"/>
                <w:numId w:val="4"/>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师生问好，教师口令清晰，准确响亮，精神饱满。</w:t>
            </w:r>
          </w:p>
          <w:p>
            <w:pPr>
              <w:numPr>
                <w:ilvl w:val="0"/>
                <w:numId w:val="4"/>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讲一个故事（关于体育）</w:t>
            </w:r>
          </w:p>
          <w:p>
            <w:pPr>
              <w:numPr>
                <w:ilvl w:val="0"/>
                <w:numId w:val="0"/>
              </w:numPr>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本节课将“霍金”和日心说。</w:t>
            </w:r>
          </w:p>
          <w:p>
            <w:pPr>
              <w:numPr>
                <w:ilvl w:val="0"/>
                <w:numId w:val="4"/>
              </w:numPr>
              <w:spacing w:line="240" w:lineRule="auto"/>
              <w:ind w:left="0" w:leftChars="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宣布课的内容，提出课的要求，</w:t>
            </w:r>
            <w:r>
              <w:rPr>
                <w:rFonts w:hint="eastAsia" w:asciiTheme="minorEastAsia" w:hAnsiTheme="minorEastAsia" w:eastAsiaTheme="minorEastAsia" w:cstheme="minorEastAsia"/>
                <w:sz w:val="21"/>
                <w:szCs w:val="21"/>
                <w:lang w:val="en-US" w:eastAsia="zh-CN"/>
              </w:rPr>
              <w:t>重点提出注意安全，</w:t>
            </w:r>
            <w:r>
              <w:rPr>
                <w:rFonts w:hint="eastAsia" w:asciiTheme="minorEastAsia" w:hAnsiTheme="minorEastAsia" w:eastAsiaTheme="minorEastAsia" w:cstheme="minorEastAsia"/>
                <w:sz w:val="21"/>
                <w:szCs w:val="21"/>
              </w:rPr>
              <w:t>安排见习生。</w:t>
            </w:r>
          </w:p>
          <w:p>
            <w:pPr>
              <w:numPr>
                <w:ilvl w:val="0"/>
                <w:numId w:val="0"/>
              </w:numPr>
              <w:spacing w:line="240" w:lineRule="auto"/>
              <w:ind w:leftChars="0"/>
              <w:rPr>
                <w:rFonts w:hint="eastAsia" w:asciiTheme="minorEastAsia" w:hAnsiTheme="minorEastAsia" w:eastAsiaTheme="minorEastAsia" w:cstheme="minorEastAsia"/>
                <w:sz w:val="21"/>
                <w:szCs w:val="21"/>
              </w:rPr>
            </w:pPr>
          </w:p>
          <w:p>
            <w:pPr>
              <w:numPr>
                <w:ilvl w:val="0"/>
                <w:numId w:val="0"/>
              </w:numPr>
              <w:spacing w:line="240" w:lineRule="auto"/>
              <w:ind w:leftChars="0"/>
              <w:rPr>
                <w:rFonts w:hint="eastAsia" w:asciiTheme="minorEastAsia" w:hAnsiTheme="minorEastAsia" w:eastAsiaTheme="minorEastAsia" w:cstheme="minorEastAsia"/>
                <w:sz w:val="21"/>
                <w:szCs w:val="21"/>
              </w:rPr>
            </w:pPr>
          </w:p>
          <w:p>
            <w:pPr>
              <w:numPr>
                <w:ilvl w:val="0"/>
                <w:numId w:val="0"/>
              </w:numPr>
              <w:spacing w:line="240" w:lineRule="auto"/>
              <w:ind w:leftChars="0"/>
              <w:rPr>
                <w:rFonts w:hint="eastAsia" w:asciiTheme="minorEastAsia" w:hAnsiTheme="minorEastAsia" w:eastAsiaTheme="minorEastAsia" w:cstheme="minorEastAsia"/>
                <w:sz w:val="21"/>
                <w:szCs w:val="21"/>
              </w:rPr>
            </w:pPr>
          </w:p>
          <w:p>
            <w:pPr>
              <w:numPr>
                <w:ilvl w:val="0"/>
                <w:numId w:val="0"/>
              </w:numPr>
              <w:spacing w:line="240" w:lineRule="auto"/>
              <w:ind w:leftChars="0"/>
              <w:rPr>
                <w:rFonts w:hint="eastAsia" w:asciiTheme="minorEastAsia" w:hAnsiTheme="minorEastAsia" w:eastAsiaTheme="minorEastAsia" w:cstheme="minorEastAsia"/>
                <w:sz w:val="21"/>
                <w:szCs w:val="21"/>
              </w:rPr>
            </w:pPr>
          </w:p>
          <w:p>
            <w:pPr>
              <w:numPr>
                <w:ilvl w:val="0"/>
                <w:numId w:val="0"/>
              </w:numPr>
              <w:spacing w:line="240" w:lineRule="auto"/>
              <w:ind w:leftChars="0"/>
              <w:rPr>
                <w:rFonts w:hint="eastAsia" w:asciiTheme="minorEastAsia" w:hAnsiTheme="minorEastAsia" w:eastAsiaTheme="minorEastAsia" w:cstheme="minorEastAsia"/>
                <w:sz w:val="21"/>
                <w:szCs w:val="21"/>
              </w:rPr>
            </w:pPr>
          </w:p>
          <w:p>
            <w:pPr>
              <w:numPr>
                <w:ilvl w:val="0"/>
                <w:numId w:val="0"/>
              </w:numPr>
              <w:spacing w:line="240" w:lineRule="auto"/>
              <w:ind w:leftChars="0"/>
              <w:rPr>
                <w:rFonts w:hint="eastAsia" w:asciiTheme="minorEastAsia" w:hAnsiTheme="minorEastAsia" w:eastAsiaTheme="minorEastAsia" w:cstheme="minorEastAsia"/>
                <w:sz w:val="21"/>
                <w:szCs w:val="21"/>
              </w:rPr>
            </w:pPr>
          </w:p>
          <w:p>
            <w:pPr>
              <w:numPr>
                <w:ilvl w:val="0"/>
                <w:numId w:val="0"/>
              </w:numPr>
              <w:spacing w:line="240" w:lineRule="auto"/>
              <w:ind w:leftChars="0"/>
              <w:rPr>
                <w:rFonts w:hint="eastAsia" w:asciiTheme="minorEastAsia" w:hAnsiTheme="minorEastAsia" w:eastAsiaTheme="minorEastAsia" w:cstheme="minorEastAsia"/>
                <w:sz w:val="21"/>
                <w:szCs w:val="21"/>
              </w:rPr>
            </w:pPr>
          </w:p>
          <w:p>
            <w:pPr>
              <w:numPr>
                <w:ilvl w:val="0"/>
                <w:numId w:val="0"/>
              </w:numPr>
              <w:spacing w:line="240" w:lineRule="auto"/>
              <w:ind w:leftChars="0"/>
              <w:rPr>
                <w:rFonts w:hint="eastAsia" w:asciiTheme="minorEastAsia" w:hAnsiTheme="minorEastAsia" w:eastAsiaTheme="minorEastAsia" w:cstheme="minorEastAsia"/>
                <w:sz w:val="21"/>
                <w:szCs w:val="21"/>
              </w:rPr>
            </w:pPr>
          </w:p>
          <w:p>
            <w:pPr>
              <w:numPr>
                <w:ilvl w:val="0"/>
                <w:numId w:val="0"/>
              </w:numPr>
              <w:spacing w:line="240" w:lineRule="auto"/>
              <w:ind w:leftChars="0"/>
              <w:rPr>
                <w:rFonts w:hint="eastAsia" w:asciiTheme="minorEastAsia" w:hAnsiTheme="minorEastAsia" w:eastAsiaTheme="minorEastAsia" w:cstheme="minorEastAsia"/>
                <w:sz w:val="21"/>
                <w:szCs w:val="21"/>
              </w:rPr>
            </w:pPr>
          </w:p>
        </w:tc>
        <w:tc>
          <w:tcPr>
            <w:tcW w:w="400" w:type="dxa"/>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337" w:type="dxa"/>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338"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tc>
        <w:tc>
          <w:tcPr>
            <w:tcW w:w="2100" w:type="dxa"/>
            <w:gridSpan w:val="7"/>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2064" w:type="dxa"/>
            <w:gridSpan w:val="2"/>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tc>
        <w:tc>
          <w:tcPr>
            <w:tcW w:w="2186" w:type="dxa"/>
            <w:gridSpan w:val="4"/>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075" w:type="dxa"/>
            <w:gridSpan w:val="3"/>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725" w:type="dxa"/>
            <w:vMerge w:val="continue"/>
            <w:vAlign w:val="center"/>
          </w:tcPr>
          <w:p>
            <w:pPr>
              <w:spacing w:line="240" w:lineRule="auto"/>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rPr>
                <w:rFonts w:hint="eastAsia" w:asciiTheme="minorEastAsia" w:hAnsiTheme="minorEastAsia" w:eastAsiaTheme="minorEastAsia" w:cstheme="minorEastAsia"/>
                <w:sz w:val="21"/>
                <w:szCs w:val="21"/>
              </w:rPr>
            </w:pPr>
          </w:p>
        </w:tc>
        <w:tc>
          <w:tcPr>
            <w:tcW w:w="2100" w:type="dxa"/>
            <w:gridSpan w:val="7"/>
            <w:vMerge w:val="continue"/>
            <w:vAlign w:val="center"/>
          </w:tcPr>
          <w:p>
            <w:pPr>
              <w:spacing w:line="240" w:lineRule="auto"/>
              <w:rPr>
                <w:rFonts w:hint="eastAsia" w:asciiTheme="minorEastAsia" w:hAnsiTheme="minorEastAsia" w:eastAsiaTheme="minorEastAsia" w:cstheme="minorEastAsia"/>
                <w:sz w:val="21"/>
                <w:szCs w:val="21"/>
              </w:rPr>
            </w:pPr>
          </w:p>
        </w:tc>
        <w:tc>
          <w:tcPr>
            <w:tcW w:w="2064" w:type="dxa"/>
            <w:gridSpan w:val="2"/>
            <w:vMerge w:val="continue"/>
            <w:vAlign w:val="center"/>
          </w:tcPr>
          <w:p>
            <w:pPr>
              <w:spacing w:line="240" w:lineRule="auto"/>
              <w:rPr>
                <w:rFonts w:hint="eastAsia" w:asciiTheme="minorEastAsia" w:hAnsiTheme="minorEastAsia" w:eastAsiaTheme="minorEastAsia" w:cstheme="minorEastAsia"/>
                <w:sz w:val="21"/>
                <w:szCs w:val="21"/>
              </w:rPr>
            </w:pPr>
          </w:p>
        </w:tc>
        <w:tc>
          <w:tcPr>
            <w:tcW w:w="2186" w:type="dxa"/>
            <w:gridSpan w:val="4"/>
            <w:vMerge w:val="continue"/>
            <w:vAlign w:val="center"/>
          </w:tcPr>
          <w:p>
            <w:pPr>
              <w:spacing w:line="240" w:lineRule="auto"/>
              <w:rPr>
                <w:rFonts w:hint="eastAsia" w:asciiTheme="minorEastAsia" w:hAnsiTheme="minorEastAsia" w:eastAsiaTheme="minorEastAsia" w:cstheme="minorEastAsia"/>
                <w:sz w:val="21"/>
                <w:szCs w:val="21"/>
              </w:rPr>
            </w:pPr>
          </w:p>
        </w:tc>
        <w:tc>
          <w:tcPr>
            <w:tcW w:w="400"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337"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338"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6" w:hRule="atLeast"/>
        </w:trPr>
        <w:tc>
          <w:tcPr>
            <w:tcW w:w="725"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热</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身</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动</w:t>
            </w:r>
          </w:p>
          <w:p>
            <w:pPr>
              <w:spacing w:line="240" w:lineRule="auto"/>
              <w:jc w:val="center"/>
              <w:rPr>
                <w:rFonts w:hint="eastAsia" w:asciiTheme="minorEastAsia" w:hAnsiTheme="minorEastAsia" w:eastAsiaTheme="minorEastAsia" w:cstheme="minorEastAsia"/>
                <w:sz w:val="21"/>
                <w:szCs w:val="21"/>
              </w:rPr>
            </w:pPr>
          </w:p>
        </w:tc>
        <w:tc>
          <w:tcPr>
            <w:tcW w:w="1200" w:type="dxa"/>
            <w:vAlign w:val="to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达到热身效果，避免运动损伤。</w:t>
            </w:r>
          </w:p>
        </w:tc>
        <w:tc>
          <w:tcPr>
            <w:tcW w:w="1200" w:type="dxa"/>
            <w:vAlign w:val="top"/>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由学校跑步去足球场；</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2足球专项热身操。</w:t>
            </w:r>
          </w:p>
        </w:tc>
        <w:tc>
          <w:tcPr>
            <w:tcW w:w="2100" w:type="dxa"/>
            <w:gridSpan w:val="7"/>
            <w:vAlign w:val="top"/>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从学校跑步去足球场；</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 跟随老师进行热身准备活动。</w:t>
            </w:r>
          </w:p>
        </w:tc>
        <w:tc>
          <w:tcPr>
            <w:tcW w:w="2064" w:type="dxa"/>
            <w:gridSpan w:val="2"/>
            <w:vAlign w:val="top"/>
          </w:tcPr>
          <w:p>
            <w:pPr>
              <w:spacing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drawing>
                <wp:inline distT="0" distB="0" distL="114300" distR="114300">
                  <wp:extent cx="800735" cy="627380"/>
                  <wp:effectExtent l="0" t="0" r="7620" b="12065"/>
                  <wp:docPr id="46" name="图片 46" descr="1551607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1551607025(1)"/>
                          <pic:cNvPicPr>
                            <a:picLocks noChangeAspect="1"/>
                          </pic:cNvPicPr>
                        </pic:nvPicPr>
                        <pic:blipFill>
                          <a:blip r:embed="rId4"/>
                          <a:stretch>
                            <a:fillRect/>
                          </a:stretch>
                        </pic:blipFill>
                        <pic:spPr>
                          <a:xfrm rot="16200000">
                            <a:off x="0" y="0"/>
                            <a:ext cx="800735" cy="627380"/>
                          </a:xfrm>
                          <a:prstGeom prst="rect">
                            <a:avLst/>
                          </a:prstGeom>
                        </pic:spPr>
                      </pic:pic>
                    </a:graphicData>
                  </a:graphic>
                </wp:inline>
              </w:drawing>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学生成两路纵队跑。</w:t>
            </w:r>
          </w:p>
        </w:tc>
        <w:tc>
          <w:tcPr>
            <w:tcW w:w="2186" w:type="dxa"/>
            <w:gridSpan w:val="4"/>
            <w:vAlign w:val="top"/>
          </w:tcPr>
          <w:p>
            <w:pPr>
              <w:pStyle w:val="4"/>
              <w:numPr>
                <w:ilvl w:val="0"/>
                <w:numId w:val="0"/>
              </w:numPr>
              <w:spacing w:line="240" w:lineRule="auto"/>
              <w:ind w:leftChars="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将器材和工具全部准备好；</w:t>
            </w:r>
          </w:p>
          <w:p>
            <w:pPr>
              <w:pStyle w:val="4"/>
              <w:numPr>
                <w:ilvl w:val="0"/>
                <w:numId w:val="0"/>
              </w:numPr>
              <w:spacing w:line="240" w:lineRule="auto"/>
              <w:ind w:leftChars="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 带领学生进行热身准备活动。</w:t>
            </w:r>
          </w:p>
        </w:tc>
        <w:tc>
          <w:tcPr>
            <w:tcW w:w="400" w:type="dxa"/>
            <w:tcBorders>
              <w:bottom w:val="single" w:color="auto" w:sz="4" w:space="0"/>
            </w:tcBorders>
            <w:vAlign w:val="top"/>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6分钟</w:t>
            </w:r>
          </w:p>
        </w:tc>
        <w:tc>
          <w:tcPr>
            <w:tcW w:w="337" w:type="dxa"/>
            <w:tcBorders>
              <w:bottom w:val="single" w:color="auto" w:sz="4" w:space="0"/>
            </w:tcBorders>
            <w:vAlign w:val="to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338" w:type="dxa"/>
            <w:tcBorders>
              <w:bottom w:val="single" w:color="auto" w:sz="4" w:space="0"/>
            </w:tcBorders>
            <w:vAlign w:val="to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tcBorders>
              <w:top w:val="single" w:color="auto" w:sz="4" w:space="0"/>
              <w:bottom w:val="single" w:color="auto" w:sz="4" w:space="0"/>
            </w:tcBorders>
            <w:vAlign w:val="center"/>
          </w:tcPr>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能</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习</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tc>
        <w:tc>
          <w:tcPr>
            <w:tcW w:w="1200" w:type="dxa"/>
            <w:tcBorders>
              <w:top w:val="single" w:color="auto" w:sz="4" w:space="0"/>
              <w:bottom w:val="single" w:color="auto" w:sz="4" w:space="0"/>
            </w:tcBorders>
          </w:tcPr>
          <w:p>
            <w:p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1.提高学生的球性</w:t>
            </w:r>
            <w:r>
              <w:rPr>
                <w:rFonts w:hint="eastAsia" w:asciiTheme="minorEastAsia" w:hAnsiTheme="minorEastAsia" w:cstheme="minorEastAsia"/>
                <w:sz w:val="21"/>
                <w:szCs w:val="21"/>
                <w:lang w:val="en-US" w:eastAsia="zh-CN"/>
              </w:rPr>
              <w:t>（颠球）</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widowControl w:val="0"/>
              <w:numPr>
                <w:ilvl w:val="0"/>
                <w:numId w:val="0"/>
              </w:num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cstheme="minorEastAsia"/>
                <w:sz w:val="21"/>
                <w:szCs w:val="21"/>
                <w:lang w:val="en-US" w:eastAsia="zh-CN"/>
              </w:rPr>
              <w:t>使学生理解简单的传接球和战术，站位配合。</w:t>
            </w: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tc>
        <w:tc>
          <w:tcPr>
            <w:tcW w:w="1200" w:type="dxa"/>
            <w:tcBorders>
              <w:top w:val="single" w:color="auto" w:sz="4" w:space="0"/>
              <w:bottom w:val="single" w:color="auto" w:sz="4" w:space="0"/>
            </w:tcBorders>
          </w:tcPr>
          <w:p>
            <w:pPr>
              <w:numPr>
                <w:ilvl w:val="0"/>
                <w:numId w:val="5"/>
              </w:num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颠球练习</w:t>
            </w: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spacing w:line="240" w:lineRule="auto"/>
              <w:jc w:val="left"/>
              <w:rPr>
                <w:rFonts w:hint="default" w:asciiTheme="minorEastAsia" w:hAnsiTheme="minorEastAsia" w:eastAsiaTheme="minorEastAsia" w:cstheme="minorEastAsia"/>
                <w:color w:val="000000"/>
                <w:kern w:val="0"/>
                <w:sz w:val="21"/>
                <w:szCs w:val="21"/>
                <w:lang w:val="en-US"/>
              </w:rPr>
            </w:pPr>
            <w:r>
              <w:rPr>
                <w:rFonts w:hint="eastAsia" w:asciiTheme="minorEastAsia" w:hAnsiTheme="minorEastAsia" w:eastAsiaTheme="minorEastAsia" w:cstheme="minorEastAsia"/>
                <w:color w:val="000000"/>
                <w:kern w:val="0"/>
                <w:sz w:val="21"/>
                <w:szCs w:val="21"/>
                <w:lang w:val="en-US" w:eastAsia="zh-CN"/>
              </w:rPr>
              <w:t>2</w:t>
            </w:r>
            <w:r>
              <w:rPr>
                <w:rFonts w:hint="eastAsia" w:asciiTheme="minorEastAsia" w:hAnsiTheme="minorEastAsia" w:cstheme="minorEastAsia"/>
                <w:color w:val="000000"/>
                <w:kern w:val="0"/>
                <w:sz w:val="21"/>
                <w:szCs w:val="21"/>
                <w:lang w:val="en-US" w:eastAsia="zh-CN"/>
              </w:rPr>
              <w:t>.传接球配合和战术配合。</w:t>
            </w:r>
          </w:p>
          <w:p>
            <w:pPr>
              <w:spacing w:line="240" w:lineRule="auto"/>
              <w:jc w:val="left"/>
              <w:rPr>
                <w:rFonts w:hint="eastAsia" w:asciiTheme="minorEastAsia" w:hAnsiTheme="minorEastAsia" w:eastAsiaTheme="minorEastAsia" w:cstheme="minorEastAsia"/>
                <w:sz w:val="21"/>
                <w:szCs w:val="21"/>
                <w:lang w:val="en-US" w:eastAsia="zh-CN"/>
              </w:rPr>
            </w:pPr>
          </w:p>
        </w:tc>
        <w:tc>
          <w:tcPr>
            <w:tcW w:w="2100" w:type="dxa"/>
            <w:gridSpan w:val="7"/>
            <w:tcBorders>
              <w:top w:val="single" w:color="auto" w:sz="4" w:space="0"/>
              <w:bottom w:val="single" w:color="auto" w:sz="4" w:space="0"/>
            </w:tcBorders>
          </w:tcPr>
          <w:p>
            <w:pPr>
              <w:numPr>
                <w:ilvl w:val="0"/>
                <w:numId w:val="0"/>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w:t>
            </w:r>
            <w:r>
              <w:rPr>
                <w:rFonts w:hint="eastAsia" w:asciiTheme="minorEastAsia" w:hAnsiTheme="minorEastAsia" w:eastAsiaTheme="minorEastAsia" w:cstheme="minorEastAsia"/>
                <w:color w:val="000000"/>
                <w:kern w:val="0"/>
                <w:sz w:val="21"/>
                <w:szCs w:val="21"/>
                <w:lang w:val="en-US" w:eastAsia="zh-CN"/>
              </w:rPr>
              <w:t>积极观看老师的球性练习动作，以及模仿，思考和询问。</w:t>
            </w: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numPr>
                <w:ilvl w:val="0"/>
                <w:numId w:val="0"/>
              </w:numPr>
              <w:spacing w:line="240" w:lineRule="auto"/>
              <w:ind w:leftChars="0"/>
              <w:jc w:val="left"/>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2.学生分成男生组和女生组。</w:t>
            </w:r>
          </w:p>
          <w:p>
            <w:pPr>
              <w:numPr>
                <w:ilvl w:val="0"/>
                <w:numId w:val="0"/>
              </w:numPr>
              <w:spacing w:line="240" w:lineRule="auto"/>
              <w:ind w:leftChars="0"/>
              <w:jc w:val="left"/>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3.在老师的安排和指导下进行传接球和站位配合。</w:t>
            </w:r>
          </w:p>
          <w:p>
            <w:pPr>
              <w:numPr>
                <w:ilvl w:val="0"/>
                <w:numId w:val="0"/>
              </w:numPr>
              <w:spacing w:line="240" w:lineRule="auto"/>
              <w:ind w:leftChars="0"/>
              <w:jc w:val="left"/>
              <w:rPr>
                <w:rFonts w:hint="default" w:asciiTheme="minorEastAsia" w:hAnsiTheme="minorEastAsia" w:cstheme="minorEastAsia"/>
                <w:color w:val="000000"/>
                <w:kern w:val="0"/>
                <w:sz w:val="21"/>
                <w:szCs w:val="21"/>
                <w:lang w:val="en-US" w:eastAsia="zh-CN"/>
              </w:rPr>
            </w:pPr>
          </w:p>
        </w:tc>
        <w:tc>
          <w:tcPr>
            <w:tcW w:w="2064" w:type="dxa"/>
            <w:gridSpan w:val="2"/>
            <w:tcBorders>
              <w:top w:val="single" w:color="auto" w:sz="4" w:space="0"/>
              <w:bottom w:val="single" w:color="auto" w:sz="4" w:space="0"/>
            </w:tcBorders>
            <w:vAlign w:val="top"/>
          </w:tcPr>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ind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四路纵队</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lang w:eastAsia="zh-CN"/>
              </w:rPr>
            </w:pPr>
          </w:p>
          <w:p>
            <w:pPr>
              <w:bidi w:val="0"/>
              <w:spacing w:line="240" w:lineRule="auto"/>
              <w:jc w:val="left"/>
              <w:rPr>
                <w:rFonts w:hint="eastAsia" w:asciiTheme="minorEastAsia" w:hAnsiTheme="minorEastAsia" w:eastAsiaTheme="minorEastAsia" w:cstheme="minorEastAsia"/>
                <w:sz w:val="21"/>
                <w:szCs w:val="21"/>
                <w:lang w:val="en-US" w:eastAsia="zh-CN"/>
              </w:rPr>
            </w:pPr>
          </w:p>
          <w:p>
            <w:pPr>
              <w:bidi w:val="0"/>
              <w:spacing w:line="240" w:lineRule="auto"/>
              <w:jc w:val="left"/>
              <w:rPr>
                <w:rFonts w:hint="eastAsia" w:asciiTheme="minorEastAsia" w:hAnsiTheme="minorEastAsia" w:eastAsiaTheme="minorEastAsia" w:cstheme="minorEastAsia"/>
                <w:sz w:val="21"/>
                <w:szCs w:val="21"/>
                <w:lang w:val="en-US" w:eastAsia="zh-CN"/>
              </w:rPr>
            </w:pPr>
            <w:r>
              <w:rPr>
                <w:rFonts w:ascii="宋体" w:hAnsi="宋体" w:eastAsia="宋体" w:cs="宋体"/>
                <w:sz w:val="24"/>
                <w:szCs w:val="24"/>
              </w:rPr>
              <w:drawing>
                <wp:inline distT="0" distB="0" distL="114300" distR="114300">
                  <wp:extent cx="2315845" cy="1166495"/>
                  <wp:effectExtent l="0" t="0" r="1905" b="8255"/>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5"/>
                          <a:stretch>
                            <a:fillRect/>
                          </a:stretch>
                        </pic:blipFill>
                        <pic:spPr>
                          <a:xfrm rot="16200000">
                            <a:off x="0" y="0"/>
                            <a:ext cx="2315845" cy="1166495"/>
                          </a:xfrm>
                          <a:prstGeom prst="rect">
                            <a:avLst/>
                          </a:prstGeom>
                          <a:noFill/>
                          <a:ln w="9525">
                            <a:noFill/>
                          </a:ln>
                        </pic:spPr>
                      </pic:pic>
                    </a:graphicData>
                  </a:graphic>
                </wp:inline>
              </w:drawing>
            </w:r>
          </w:p>
        </w:tc>
        <w:tc>
          <w:tcPr>
            <w:tcW w:w="2186" w:type="dxa"/>
            <w:gridSpan w:val="4"/>
            <w:tcBorders>
              <w:top w:val="single" w:color="auto" w:sz="4" w:space="0"/>
              <w:bottom w:val="single" w:color="auto" w:sz="4" w:space="0"/>
            </w:tcBorders>
          </w:tcPr>
          <w:p>
            <w:pPr>
              <w:numPr>
                <w:ilvl w:val="0"/>
                <w:numId w:val="6"/>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示范和讲解</w:t>
            </w:r>
          </w:p>
          <w:p>
            <w:pPr>
              <w:numPr>
                <w:ilvl w:val="0"/>
                <w:numId w:val="6"/>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组织学生颠球练习。</w:t>
            </w: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6"/>
              </w:numPr>
              <w:spacing w:line="240" w:lineRule="auto"/>
              <w:ind w:left="0" w:leftChars="0" w:firstLine="0" w:firstLineChars="0"/>
              <w:jc w:val="left"/>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组织学生认真进行战术和站位配合，</w:t>
            </w:r>
          </w:p>
          <w:p>
            <w:pPr>
              <w:numPr>
                <w:ilvl w:val="0"/>
                <w:numId w:val="0"/>
              </w:numPr>
              <w:spacing w:line="240" w:lineRule="auto"/>
              <w:ind w:leftChars="0"/>
              <w:jc w:val="left"/>
              <w:rPr>
                <w:rFonts w:hint="eastAsia" w:asciiTheme="minorEastAsia" w:hAnsiTheme="minorEastAsia" w:cstheme="minorEastAsia"/>
                <w:sz w:val="21"/>
                <w:szCs w:val="21"/>
                <w:lang w:val="en-US" w:eastAsia="zh-CN"/>
              </w:rPr>
            </w:pPr>
          </w:p>
          <w:p>
            <w:pPr>
              <w:numPr>
                <w:ilvl w:val="0"/>
                <w:numId w:val="0"/>
              </w:numPr>
              <w:spacing w:line="240" w:lineRule="auto"/>
              <w:ind w:leftChars="0"/>
              <w:jc w:val="left"/>
              <w:rPr>
                <w:rFonts w:hint="eastAsia" w:asciiTheme="minorEastAsia" w:hAnsiTheme="minorEastAsia" w:cstheme="minorEastAsia"/>
                <w:sz w:val="21"/>
                <w:szCs w:val="21"/>
                <w:lang w:val="en-US" w:eastAsia="zh-CN"/>
              </w:rPr>
            </w:pPr>
          </w:p>
          <w:p>
            <w:pPr>
              <w:numPr>
                <w:ilvl w:val="0"/>
                <w:numId w:val="6"/>
              </w:numPr>
              <w:spacing w:line="240" w:lineRule="auto"/>
              <w:ind w:left="0" w:leftChars="0" w:firstLine="0" w:firstLineChars="0"/>
              <w:jc w:val="left"/>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安排好站位和战术配合，是学生在经过上节课的足球教学赛之后了解自己薄弱的地方进行练习。</w:t>
            </w: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tc>
        <w:tc>
          <w:tcPr>
            <w:tcW w:w="400" w:type="dxa"/>
            <w:tcBorders>
              <w:top w:val="single" w:color="auto" w:sz="4" w:space="0"/>
              <w:bottom w:val="single" w:color="auto" w:sz="4" w:space="0"/>
            </w:tcBorders>
          </w:tcPr>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分</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钟</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p>
        </w:tc>
        <w:tc>
          <w:tcPr>
            <w:tcW w:w="337" w:type="dxa"/>
            <w:tcBorders>
              <w:top w:val="single" w:color="auto" w:sz="4" w:space="0"/>
              <w:bottom w:val="single" w:color="auto" w:sz="4" w:space="0"/>
            </w:tcBorders>
          </w:tcPr>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338" w:type="dxa"/>
            <w:tcBorders>
              <w:top w:val="single" w:color="auto" w:sz="4" w:space="0"/>
              <w:bottom w:val="single" w:color="auto" w:sz="4" w:space="0"/>
            </w:tcBorders>
          </w:tcPr>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中</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725" w:type="dxa"/>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200" w:type="dxa"/>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00" w:type="dxa"/>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p>
            <w:pPr>
              <w:spacing w:line="240" w:lineRule="auto"/>
              <w:jc w:val="center"/>
              <w:rPr>
                <w:rFonts w:hint="eastAsia" w:asciiTheme="minorEastAsia" w:hAnsiTheme="minorEastAsia" w:eastAsiaTheme="minorEastAsia" w:cstheme="minorEastAsia"/>
                <w:sz w:val="21"/>
                <w:szCs w:val="21"/>
              </w:rPr>
            </w:pPr>
          </w:p>
        </w:tc>
        <w:tc>
          <w:tcPr>
            <w:tcW w:w="2100" w:type="dxa"/>
            <w:gridSpan w:val="7"/>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p>
            <w:pPr>
              <w:spacing w:line="240" w:lineRule="auto"/>
              <w:jc w:val="center"/>
              <w:rPr>
                <w:rFonts w:hint="eastAsia" w:asciiTheme="minorEastAsia" w:hAnsiTheme="minorEastAsia" w:eastAsiaTheme="minorEastAsia" w:cstheme="minorEastAsia"/>
                <w:sz w:val="21"/>
                <w:szCs w:val="21"/>
              </w:rPr>
            </w:pPr>
          </w:p>
        </w:tc>
        <w:tc>
          <w:tcPr>
            <w:tcW w:w="2064" w:type="dxa"/>
            <w:gridSpan w:val="2"/>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p>
            <w:pPr>
              <w:spacing w:line="240" w:lineRule="auto"/>
              <w:rPr>
                <w:rFonts w:hint="eastAsia" w:asciiTheme="minorEastAsia" w:hAnsiTheme="minorEastAsia" w:eastAsiaTheme="minorEastAsia" w:cstheme="minorEastAsia"/>
                <w:sz w:val="21"/>
                <w:szCs w:val="21"/>
              </w:rPr>
            </w:pPr>
          </w:p>
        </w:tc>
        <w:tc>
          <w:tcPr>
            <w:tcW w:w="2186" w:type="dxa"/>
            <w:gridSpan w:val="4"/>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p>
            <w:pPr>
              <w:spacing w:line="240" w:lineRule="auto"/>
              <w:jc w:val="center"/>
              <w:rPr>
                <w:rFonts w:hint="eastAsia" w:asciiTheme="minorEastAsia" w:hAnsiTheme="minorEastAsia" w:eastAsiaTheme="minorEastAsia" w:cstheme="minorEastAsia"/>
                <w:sz w:val="21"/>
                <w:szCs w:val="21"/>
              </w:rPr>
            </w:pPr>
          </w:p>
        </w:tc>
        <w:tc>
          <w:tcPr>
            <w:tcW w:w="1075" w:type="dxa"/>
            <w:gridSpan w:val="3"/>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725" w:type="dxa"/>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1200" w:type="dxa"/>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1200" w:type="dxa"/>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2100" w:type="dxa"/>
            <w:gridSpan w:val="7"/>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2064" w:type="dxa"/>
            <w:gridSpan w:val="2"/>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2186" w:type="dxa"/>
            <w:gridSpan w:val="4"/>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400"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337"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338"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725"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放</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松</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动</w:t>
            </w:r>
          </w:p>
        </w:tc>
        <w:tc>
          <w:tcPr>
            <w:tcW w:w="1200"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快，静，齐。身心放松。</w:t>
            </w:r>
          </w:p>
        </w:tc>
        <w:tc>
          <w:tcPr>
            <w:tcW w:w="1200"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静态</w:t>
            </w:r>
            <w:r>
              <w:rPr>
                <w:rFonts w:hint="eastAsia" w:asciiTheme="minorEastAsia" w:hAnsiTheme="minorEastAsia" w:eastAsiaTheme="minorEastAsia" w:cstheme="minorEastAsia"/>
                <w:sz w:val="21"/>
                <w:szCs w:val="21"/>
              </w:rPr>
              <w:t>放松操。</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2、小结。</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3、师生再见。</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4、回收器材。</w:t>
            </w:r>
          </w:p>
        </w:tc>
        <w:tc>
          <w:tcPr>
            <w:tcW w:w="2100" w:type="dxa"/>
            <w:gridSpan w:val="7"/>
            <w:tcBorders>
              <w:top w:val="single" w:color="auto" w:sz="4" w:space="0"/>
              <w:bottom w:val="single" w:color="auto" w:sz="4" w:space="0"/>
            </w:tcBorders>
          </w:tcPr>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学生随教师做</w:t>
            </w:r>
            <w:r>
              <w:rPr>
                <w:rFonts w:hint="eastAsia" w:asciiTheme="minorEastAsia" w:hAnsiTheme="minorEastAsia" w:eastAsiaTheme="minorEastAsia" w:cstheme="minorEastAsia"/>
                <w:sz w:val="21"/>
                <w:szCs w:val="21"/>
                <w:lang w:val="en-US" w:eastAsia="zh-CN"/>
              </w:rPr>
              <w:t>静态放松操</w:t>
            </w:r>
            <w:r>
              <w:rPr>
                <w:rFonts w:hint="eastAsia" w:asciiTheme="minorEastAsia" w:hAnsiTheme="minorEastAsia" w:eastAsiaTheme="minorEastAsia" w:cstheme="minorEastAsia"/>
                <w:sz w:val="21"/>
                <w:szCs w:val="21"/>
              </w:rPr>
              <w:t>。</w:t>
            </w:r>
          </w:p>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认真听讲。</w:t>
            </w:r>
          </w:p>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师生再见。</w:t>
            </w:r>
          </w:p>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值日生收器材。</w:t>
            </w:r>
          </w:p>
        </w:tc>
        <w:tc>
          <w:tcPr>
            <w:tcW w:w="2064" w:type="dxa"/>
            <w:gridSpan w:val="2"/>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186" w:type="dxa"/>
            <w:gridSpan w:val="4"/>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1、教师引领学生做</w:t>
            </w:r>
            <w:r>
              <w:rPr>
                <w:rFonts w:hint="eastAsia" w:asciiTheme="minorEastAsia" w:hAnsiTheme="minorEastAsia" w:eastAsiaTheme="minorEastAsia" w:cstheme="minorEastAsia"/>
                <w:sz w:val="21"/>
                <w:szCs w:val="21"/>
                <w:lang w:val="en-US" w:eastAsia="zh-CN"/>
              </w:rPr>
              <w:t>静态放松</w:t>
            </w:r>
            <w:r>
              <w:rPr>
                <w:rFonts w:hint="eastAsia" w:asciiTheme="minorEastAsia" w:hAnsiTheme="minorEastAsia" w:eastAsiaTheme="minorEastAsia" w:cstheme="minorEastAsia"/>
                <w:sz w:val="21"/>
                <w:szCs w:val="21"/>
              </w:rPr>
              <w:t>操。</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2、教师小结。</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3、师生再见。</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4、安排学生回收器材。</w:t>
            </w:r>
          </w:p>
        </w:tc>
        <w:tc>
          <w:tcPr>
            <w:tcW w:w="400" w:type="dxa"/>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分钟</w:t>
            </w:r>
          </w:p>
        </w:tc>
        <w:tc>
          <w:tcPr>
            <w:tcW w:w="337" w:type="dxa"/>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次</w:t>
            </w:r>
          </w:p>
        </w:tc>
        <w:tc>
          <w:tcPr>
            <w:tcW w:w="338"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1925" w:type="dxa"/>
            <w:gridSpan w:val="2"/>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平均心率预计</w:t>
            </w:r>
          </w:p>
        </w:tc>
        <w:tc>
          <w:tcPr>
            <w:tcW w:w="1645" w:type="dxa"/>
            <w:gridSpan w:val="3"/>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±5次/分</w:t>
            </w:r>
          </w:p>
        </w:tc>
        <w:tc>
          <w:tcPr>
            <w:tcW w:w="1655" w:type="dxa"/>
            <w:gridSpan w:val="5"/>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强度指数预计</w:t>
            </w:r>
          </w:p>
        </w:tc>
        <w:tc>
          <w:tcPr>
            <w:tcW w:w="2064" w:type="dxa"/>
            <w:gridSpan w:val="2"/>
          </w:tcPr>
          <w:p>
            <w:pPr>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.4-1.6</w:t>
            </w:r>
          </w:p>
        </w:tc>
        <w:tc>
          <w:tcPr>
            <w:tcW w:w="1123" w:type="dxa"/>
            <w:gridSpan w:val="2"/>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练习密度预计</w:t>
            </w:r>
          </w:p>
        </w:tc>
        <w:tc>
          <w:tcPr>
            <w:tcW w:w="2138" w:type="dxa"/>
            <w:gridSpan w:val="5"/>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65</w:t>
            </w:r>
            <w:r>
              <w:rPr>
                <w:rFonts w:hint="eastAsia" w:asciiTheme="minorEastAsia" w:hAnsiTheme="minorEastAsia" w:eastAsiaTheme="minorEastAsia" w:cstheme="minorEastAsia"/>
                <w:sz w:val="21"/>
                <w:szCs w:val="21"/>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0"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运动心率曲线图预计</w:t>
            </w:r>
          </w:p>
        </w:tc>
        <w:tc>
          <w:tcPr>
            <w:tcW w:w="9825" w:type="dxa"/>
            <w:gridSpan w:val="18"/>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mc:AlternateContent>
                <mc:Choice Requires="wps">
                  <w:drawing>
                    <wp:anchor distT="0" distB="0" distL="114300" distR="114300" simplePos="0" relativeHeight="251800576" behindDoc="0" locked="0" layoutInCell="1" allowOverlap="1">
                      <wp:simplePos x="0" y="0"/>
                      <wp:positionH relativeFrom="column">
                        <wp:posOffset>1208405</wp:posOffset>
                      </wp:positionH>
                      <wp:positionV relativeFrom="paragraph">
                        <wp:posOffset>115570</wp:posOffset>
                      </wp:positionV>
                      <wp:extent cx="7620" cy="1496060"/>
                      <wp:effectExtent l="48895" t="0" r="45085" b="2540"/>
                      <wp:wrapNone/>
                      <wp:docPr id="21" name="直接箭头连接符 21"/>
                      <wp:cNvGraphicFramePr/>
                      <a:graphic xmlns:a="http://schemas.openxmlformats.org/drawingml/2006/main">
                        <a:graphicData uri="http://schemas.microsoft.com/office/word/2010/wordprocessingShape">
                          <wps:wsp>
                            <wps:cNvCnPr/>
                            <wps:spPr>
                              <a:xfrm flipH="1" flipV="1">
                                <a:off x="1950720" y="7178040"/>
                                <a:ext cx="7620" cy="149606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 y;margin-left:95.15pt;margin-top:9.1pt;height:117.8pt;width:0.6pt;z-index:251800576;mso-width-relative:page;mso-height-relative:page;" filled="f" stroked="t" coordsize="21600,21600" o:gfxdata="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gu3+F1wAAAAoBAAAPAAAAAAAAAAEAIAAA&#10;ACIAAABkcnMvZG93bnJldi54bWxQSwECFAAUAAAACACHTuJABqw0kQ0CAADHAwAADgAAAAAAAAAB&#10;ACAAAAAmAQAAZHJzL2Uyb0RvYy54bWxQSwUGAAAAAAYABgBZAQAApQUAAAAA&#10;">
                      <v:fill on="f" focussize="0,0"/>
                      <v:stroke weight="0.5pt" color="#000000 [3200]" miterlimit="8" joinstyle="miter" endarrow="open"/>
                      <v:imagedata o:title=""/>
                      <o:lock v:ext="edit" aspectratio="f"/>
                    </v:shape>
                  </w:pict>
                </mc:Fallback>
              </mc:AlternateContent>
            </w:r>
            <w:r>
              <w:rPr>
                <w:rFonts w:hint="eastAsia" w:asciiTheme="minorEastAsia" w:hAnsiTheme="minorEastAsia" w:eastAsiaTheme="minorEastAsia" w:cstheme="minorEastAsia"/>
                <w:sz w:val="21"/>
                <w:szCs w:val="21"/>
              </w:rPr>
              <mc:AlternateContent>
                <mc:Choice Requires="wps">
                  <w:drawing>
                    <wp:anchor distT="0" distB="0" distL="114300" distR="114300" simplePos="0" relativeHeight="251801600" behindDoc="0" locked="0" layoutInCell="1" allowOverlap="1">
                      <wp:simplePos x="0" y="0"/>
                      <wp:positionH relativeFrom="column">
                        <wp:posOffset>1217295</wp:posOffset>
                      </wp:positionH>
                      <wp:positionV relativeFrom="paragraph">
                        <wp:posOffset>1598930</wp:posOffset>
                      </wp:positionV>
                      <wp:extent cx="4262755" cy="1905"/>
                      <wp:effectExtent l="0" t="46990" r="4445" b="52705"/>
                      <wp:wrapNone/>
                      <wp:docPr id="22" name="直接箭头连接符 22"/>
                      <wp:cNvGraphicFramePr/>
                      <a:graphic xmlns:a="http://schemas.openxmlformats.org/drawingml/2006/main">
                        <a:graphicData uri="http://schemas.microsoft.com/office/word/2010/wordprocessingShape">
                          <wps:wsp>
                            <wps:cNvCnPr/>
                            <wps:spPr>
                              <a:xfrm>
                                <a:off x="1950720" y="8463915"/>
                                <a:ext cx="4262755" cy="190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95.85pt;margin-top:125.9pt;height:0.15pt;width:335.65pt;z-index:251801600;mso-width-relative:page;mso-height-relative:page;" filled="f" stroked="t" coordsize="21600,21600" o:gfxdata="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AIG2QAAAAsBAAAPAAAAAAAAAAEAIAAAACIAAABk&#10;cnMvZG93bnJldi54bWxQSwECFAAUAAAACACHTuJAEfWEqAUCAACzAwAADgAAAAAAAAABACAAAAAo&#10;AQAAZHJzL2Uyb0RvYy54bWxQSwUGAAAAAAYABgBZAQAAnwUAAAAA&#10;">
                      <v:fill on="f" focussize="0,0"/>
                      <v:stroke weight="0.5pt" color="#000000 [3200]" miterlimit="8" joinstyle="miter" endarrow="open"/>
                      <v:imagedata o:title=""/>
                      <o:lock v:ext="edit" aspectratio="f"/>
                    </v:shape>
                  </w:pict>
                </mc:Fallback>
              </mc:AlternateContent>
            </w:r>
            <w:r>
              <w:rPr>
                <w:rFonts w:hint="eastAsia" w:asciiTheme="minorEastAsia" w:hAnsiTheme="minorEastAsia" w:eastAsiaTheme="minorEastAsia" w:cstheme="minorEastAsia"/>
                <w:sz w:val="21"/>
                <w:szCs w:val="21"/>
              </w:rPr>
              <mc:AlternateContent>
                <mc:Choice Requires="wps">
                  <w:drawing>
                    <wp:anchor distT="0" distB="0" distL="114300" distR="114300" simplePos="0" relativeHeight="251799552" behindDoc="0" locked="0" layoutInCell="1" allowOverlap="1">
                      <wp:simplePos x="0" y="0"/>
                      <wp:positionH relativeFrom="column">
                        <wp:posOffset>116840</wp:posOffset>
                      </wp:positionH>
                      <wp:positionV relativeFrom="paragraph">
                        <wp:posOffset>103505</wp:posOffset>
                      </wp:positionV>
                      <wp:extent cx="403225" cy="1135380"/>
                      <wp:effectExtent l="4445" t="4445" r="11430" b="15875"/>
                      <wp:wrapNone/>
                      <wp:docPr id="20" name="文本框 20"/>
                      <wp:cNvGraphicFramePr/>
                      <a:graphic xmlns:a="http://schemas.openxmlformats.org/drawingml/2006/main">
                        <a:graphicData uri="http://schemas.microsoft.com/office/word/2010/wordprocessingShape">
                          <wps:wsp>
                            <wps:cNvSpPr txBox="1"/>
                            <wps:spPr>
                              <a:xfrm>
                                <a:off x="1609725" y="7178040"/>
                                <a:ext cx="403225" cy="11353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lang w:val="en-US" w:eastAsia="zh-CN"/>
                                    </w:rPr>
                                  </w:pPr>
                                  <w:r>
                                    <w:rPr>
                                      <w:rFonts w:hint="eastAsia"/>
                                      <w:lang w:val="en-US" w:eastAsia="zh-CN"/>
                                    </w:rPr>
                                    <w:t>脉搏（次\分钟）</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2pt;margin-top:8.15pt;height:89.4pt;width:31.75pt;z-index:251799552;mso-width-relative:page;mso-height-relative:page;" fillcolor="#FFFFFF [3201]" filled="t" stroked="t" coordsize="21600,21600" o:gfxdata="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bXU4btQAAAAIAQAADwAAAAAAAAAB&#10;ACAAAAAiAAAAZHJzL2Rvd25yZXYueG1sUEsBAhQAFAAAAAgAh07iQFsCSAZNAgAAeQQAAA4AAAAA&#10;AAAAAQAgAAAAIwEAAGRycy9lMm9Eb2MueG1sUEsFBgAAAAAGAAYAWQEAAOIFAAAAAA==&#10;">
                      <v:fill on="t" focussize="0,0"/>
                      <v:stroke weight="0.5pt" color="#000000 [3204]" joinstyle="round"/>
                      <v:imagedata o:title=""/>
                      <o:lock v:ext="edit" aspectratio="f"/>
                      <v:textbox style="layout-flow:vertical-ideographic;">
                        <w:txbxContent>
                          <w:p>
                            <w:pPr>
                              <w:rPr>
                                <w:rFonts w:hint="eastAsia" w:eastAsiaTheme="minorEastAsia"/>
                                <w:lang w:val="en-US" w:eastAsia="zh-CN"/>
                              </w:rPr>
                            </w:pPr>
                            <w:r>
                              <w:rPr>
                                <w:rFonts w:hint="eastAsia"/>
                                <w:lang w:val="en-US" w:eastAsia="zh-CN"/>
                              </w:rPr>
                              <w:t>脉搏（次\分钟）</w:t>
                            </w:r>
                          </w:p>
                        </w:txbxContent>
                      </v:textbox>
                    </v:shape>
                  </w:pict>
                </mc:Fallback>
              </mc:AlternateContent>
            </w:r>
            <w:r>
              <w:rPr>
                <w:rFonts w:hint="eastAsia" w:asciiTheme="minorEastAsia" w:hAnsiTheme="minorEastAsia" w:eastAsiaTheme="minorEastAsia" w:cstheme="minorEastAsia"/>
                <w:sz w:val="21"/>
                <w:szCs w:val="21"/>
                <w:lang w:val="en-US" w:eastAsia="zh-CN"/>
              </w:rPr>
              <w:t xml:space="preserve">          分钟</w:t>
            </w:r>
            <w:r>
              <w:rPr>
                <w:rFonts w:hint="eastAsia" w:asciiTheme="minorEastAsia" w:hAnsiTheme="minorEastAsia" w:eastAsiaTheme="minorEastAsia" w:cstheme="minorEastAsia"/>
                <w:sz w:val="21"/>
                <w:szCs w:val="21"/>
                <w:lang w:val="en-US" w:eastAsia="zh-CN"/>
              </w:rPr>
              <w:drawing>
                <wp:inline distT="0" distB="0" distL="114300" distR="114300">
                  <wp:extent cx="4959350" cy="1791335"/>
                  <wp:effectExtent l="4445" t="4445" r="14605" b="7620"/>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课后反思</w:t>
            </w:r>
          </w:p>
        </w:tc>
        <w:tc>
          <w:tcPr>
            <w:tcW w:w="9825" w:type="dxa"/>
            <w:gridSpan w:val="18"/>
          </w:tcPr>
          <w:p>
            <w:pPr>
              <w:spacing w:line="240" w:lineRule="auto"/>
              <w:rPr>
                <w:rFonts w:hint="eastAsia" w:asciiTheme="minorEastAsia" w:hAnsiTheme="minorEastAsia" w:eastAsiaTheme="minorEastAsia" w:cstheme="minorEastAsia"/>
                <w:sz w:val="21"/>
                <w:szCs w:val="21"/>
              </w:rPr>
            </w:pPr>
          </w:p>
        </w:tc>
      </w:tr>
    </w:tbl>
    <w:p>
      <w:pPr>
        <w:tabs>
          <w:tab w:val="left" w:pos="2473"/>
        </w:tabs>
        <w:bidi w:val="0"/>
        <w:spacing w:line="240" w:lineRule="auto"/>
        <w:jc w:val="left"/>
        <w:rPr>
          <w:rFonts w:hint="eastAsia" w:asciiTheme="minorEastAsia" w:hAnsiTheme="minorEastAsia" w:eastAsiaTheme="minorEastAsia" w:cstheme="minorEastAsia"/>
          <w:kern w:val="2"/>
          <w:sz w:val="21"/>
          <w:szCs w:val="21"/>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16DF4"/>
    <w:multiLevelType w:val="singleLevel"/>
    <w:tmpl w:val="14D16DF4"/>
    <w:lvl w:ilvl="0" w:tentative="0">
      <w:start w:val="1"/>
      <w:numFmt w:val="decimal"/>
      <w:lvlText w:val="%1."/>
      <w:lvlJc w:val="left"/>
      <w:pPr>
        <w:tabs>
          <w:tab w:val="left" w:pos="312"/>
        </w:tabs>
      </w:pPr>
    </w:lvl>
  </w:abstractNum>
  <w:abstractNum w:abstractNumId="1">
    <w:nsid w:val="36AB017A"/>
    <w:multiLevelType w:val="multilevel"/>
    <w:tmpl w:val="36AB017A"/>
    <w:lvl w:ilvl="0" w:tentative="0">
      <w:start w:val="1"/>
      <w:numFmt w:val="decimal"/>
      <w:lvlText w:val="%1、"/>
      <w:lvlJc w:val="left"/>
      <w:pPr>
        <w:ind w:left="360" w:hanging="36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8B8629F"/>
    <w:multiLevelType w:val="multilevel"/>
    <w:tmpl w:val="58B8629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EEF13E4"/>
    <w:multiLevelType w:val="singleLevel"/>
    <w:tmpl w:val="5EEF13E4"/>
    <w:lvl w:ilvl="0" w:tentative="0">
      <w:start w:val="1"/>
      <w:numFmt w:val="decimal"/>
      <w:suff w:val="nothing"/>
      <w:lvlText w:val="%1、"/>
      <w:lvlJc w:val="left"/>
    </w:lvl>
  </w:abstractNum>
  <w:abstractNum w:abstractNumId="4">
    <w:nsid w:val="62E9BADF"/>
    <w:multiLevelType w:val="singleLevel"/>
    <w:tmpl w:val="62E9BADF"/>
    <w:lvl w:ilvl="0" w:tentative="0">
      <w:start w:val="1"/>
      <w:numFmt w:val="decimal"/>
      <w:suff w:val="nothing"/>
      <w:lvlText w:val="%1、"/>
      <w:lvlJc w:val="left"/>
    </w:lvl>
  </w:abstractNum>
  <w:abstractNum w:abstractNumId="5">
    <w:nsid w:val="6B8F9990"/>
    <w:multiLevelType w:val="singleLevel"/>
    <w:tmpl w:val="6B8F9990"/>
    <w:lvl w:ilvl="0" w:tentative="0">
      <w:start w:val="1"/>
      <w:numFmt w:val="decimal"/>
      <w:lvlText w:val="%1."/>
      <w:lvlJc w:val="left"/>
      <w:pPr>
        <w:tabs>
          <w:tab w:val="left" w:pos="312"/>
        </w:tabs>
      </w:pPr>
    </w:lvl>
  </w:abstractNum>
  <w:abstractNum w:abstractNumId="6">
    <w:nsid w:val="7873D64A"/>
    <w:multiLevelType w:val="singleLevel"/>
    <w:tmpl w:val="7873D64A"/>
    <w:lvl w:ilvl="0" w:tentative="0">
      <w:start w:val="1"/>
      <w:numFmt w:val="decimal"/>
      <w:lvlText w:val="%1."/>
      <w:lvlJc w:val="left"/>
      <w:pPr>
        <w:tabs>
          <w:tab w:val="left" w:pos="312"/>
        </w:tabs>
      </w:pPr>
    </w:lvl>
  </w:abstractNum>
  <w:num w:numId="1">
    <w:abstractNumId w:val="0"/>
  </w:num>
  <w:num w:numId="2">
    <w:abstractNumId w:val="2"/>
  </w:num>
  <w:num w:numId="3">
    <w:abstractNumId w:val="3"/>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B0476A"/>
    <w:rsid w:val="02B95997"/>
    <w:rsid w:val="1AF138CC"/>
    <w:rsid w:val="1D5D169E"/>
    <w:rsid w:val="1D745C4C"/>
    <w:rsid w:val="2E0E2CB3"/>
    <w:rsid w:val="30412FB7"/>
    <w:rsid w:val="353B5D36"/>
    <w:rsid w:val="35D437F6"/>
    <w:rsid w:val="4AD73673"/>
    <w:rsid w:val="540108D6"/>
    <w:rsid w:val="5A9C015E"/>
    <w:rsid w:val="63BA06CB"/>
    <w:rsid w:val="6DE066C9"/>
    <w:rsid w:val="6EB0476A"/>
    <w:rsid w:val="741F09A6"/>
    <w:rsid w:val="75032E13"/>
    <w:rsid w:val="750E40DB"/>
    <w:rsid w:val="769A7707"/>
    <w:rsid w:val="79026456"/>
    <w:rsid w:val="7BFB4B04"/>
    <w:rsid w:val="7D614B0A"/>
    <w:rsid w:val="7FDF4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lineChart>
        <c:grouping val="standard"/>
        <c:varyColors val="0"/>
        <c:ser>
          <c:idx val="0"/>
          <c:order val="0"/>
          <c:tx>
            <c:strRef>
              <c:f>Sheet1!$B$1</c:f>
              <c:strCache>
                <c:ptCount val="1"/>
                <c:pt idx="0">
                  <c:v>系列 1</c:v>
                </c:pt>
              </c:strCache>
            </c:strRef>
          </c:tx>
          <c:spPr>
            <a:ln w="28575" cap="rnd">
              <a:solidFill>
                <a:schemeClr val="accent1"/>
              </a:solidFill>
              <a:round/>
            </a:ln>
            <a:effectLst/>
          </c:spPr>
          <c:marker>
            <c:symbol val="none"/>
          </c:marker>
          <c:dLbls>
            <c:delete val="1"/>
          </c:dLbls>
          <c:cat>
            <c:strRef>
              <c:f>Sheet1!$A$2:$A$5</c:f>
              <c:strCache>
                <c:ptCount val="4"/>
                <c:pt idx="0">
                  <c:v>类别 1</c:v>
                </c:pt>
                <c:pt idx="1">
                  <c:v>类别 2</c:v>
                </c:pt>
                <c:pt idx="2">
                  <c:v>类别 3</c:v>
                </c:pt>
                <c:pt idx="3">
                  <c:v>类别 4</c:v>
                </c:pt>
              </c:strCache>
            </c:strRef>
          </c:cat>
          <c:val>
            <c:numRef>
              <c:f>Sheet1!$B$2:$B$5</c:f>
              <c:numCache>
                <c:formatCode>General</c:formatCode>
                <c:ptCount val="4"/>
                <c:pt idx="0">
                  <c:v>65</c:v>
                </c:pt>
                <c:pt idx="1">
                  <c:v>110</c:v>
                </c:pt>
                <c:pt idx="2">
                  <c:v>140</c:v>
                </c:pt>
                <c:pt idx="3">
                  <c:v>70</c:v>
                </c:pt>
              </c:numCache>
            </c:numRef>
          </c:val>
          <c:smooth val="0"/>
        </c:ser>
        <c:dLbls>
          <c:showLegendKey val="0"/>
          <c:showVal val="0"/>
          <c:showCatName val="0"/>
          <c:showSerName val="0"/>
          <c:showPercent val="0"/>
          <c:showBubbleSize val="0"/>
        </c:dLbls>
        <c:marker val="0"/>
        <c:smooth val="0"/>
        <c:axId val="446617945"/>
        <c:axId val="258163389"/>
      </c:lineChart>
      <c:catAx>
        <c:axId val="44661794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8163389"/>
        <c:crosses val="autoZero"/>
        <c:auto val="1"/>
        <c:lblAlgn val="ctr"/>
        <c:lblOffset val="100"/>
        <c:noMultiLvlLbl val="0"/>
      </c:catAx>
      <c:valAx>
        <c:axId val="25816338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4661794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2019-09-03T03:07:00Z</dcterms:created>
  <dc:creator>不二</dc:creator>
  <cp:lastModifiedBy>不二</cp:lastModifiedBy>
  <dcterms:modified xsi:type="dcterms:W3CDTF">2019-11-16T12:40:11Z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