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"/>
        <w:jc w:val="center"/>
        <w:outlineLvl w:val="1"/>
        <w:rPr>
          <w:rFonts w:ascii="华文仿宋" w:cs="华文仿宋" w:hAnsi="华文仿宋" w:eastAsia="华文仿宋"/>
        </w:rPr>
      </w:pPr>
      <w:r>
        <w:rPr>
          <w:rFonts w:eastAsia="华文仿宋" w:hint="eastAsia"/>
          <w:rtl w:val="0"/>
          <w:lang w:val="zh-TW" w:eastAsia="zh-TW"/>
        </w:rPr>
        <w:t xml:space="preserve">评课 </w:t>
      </w:r>
      <w:r>
        <w:rPr>
          <w:rFonts w:ascii="华文仿宋" w:hAnsi="华文仿宋"/>
          <w:rtl w:val="0"/>
          <w:lang w:val="zh-TW" w:eastAsia="zh-TW"/>
        </w:rPr>
        <w:t>2</w:t>
      </w:r>
    </w:p>
    <w:p>
      <w:pPr>
        <w:pStyle w:val="Body A"/>
        <w:jc w:val="center"/>
        <w:rPr>
          <w:rFonts w:ascii="华文仿宋" w:cs="华文仿宋" w:hAnsi="华文仿宋" w:eastAsia="华文仿宋"/>
        </w:rPr>
      </w:pPr>
    </w:p>
    <w:p>
      <w:pPr>
        <w:pStyle w:val="Body A"/>
        <w:jc w:val="center"/>
        <w:rPr>
          <w:rFonts w:ascii="华文仿宋" w:cs="华文仿宋" w:hAnsi="华文仿宋" w:eastAsia="华文仿宋"/>
        </w:rPr>
      </w:pPr>
    </w:p>
    <w:p>
      <w:pPr>
        <w:pStyle w:val="Body A"/>
        <w:jc w:val="center"/>
        <w:rPr>
          <w:rFonts w:ascii="华文仿宋" w:cs="华文仿宋" w:hAnsi="华文仿宋" w:eastAsia="华文仿宋"/>
          <w:sz w:val="28"/>
          <w:szCs w:val="28"/>
        </w:rPr>
      </w:pPr>
      <w:r>
        <w:rPr>
          <w:rFonts w:eastAsia="华文仿宋" w:hint="eastAsia"/>
          <w:sz w:val="28"/>
          <w:szCs w:val="28"/>
          <w:rtl w:val="0"/>
          <w:lang w:val="zh-TW" w:eastAsia="zh-TW"/>
        </w:rPr>
        <w:t>苏晴</w:t>
      </w:r>
    </w:p>
    <w:p>
      <w:pPr>
        <w:pStyle w:val="Body A"/>
      </w:pPr>
    </w:p>
    <w:p>
      <w:pPr>
        <w:pStyle w:val="Body A"/>
      </w:pPr>
    </w:p>
    <w:p>
      <w:pPr>
        <w:pStyle w:val="Body A"/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569"/>
        <w:gridCol w:w="8063"/>
      </w:tblGrid>
      <w:tr>
        <w:tblPrEx>
          <w:shd w:val="clear" w:color="auto" w:fill="cadfff"/>
        </w:tblPrEx>
        <w:trPr>
          <w:trHeight w:val="792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执教老师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戚满兰老师</w:t>
            </w:r>
          </w:p>
        </w:tc>
      </w:tr>
      <w:tr>
        <w:tblPrEx>
          <w:shd w:val="clear" w:color="auto" w:fill="cadfff"/>
        </w:tblPrEx>
        <w:trPr>
          <w:trHeight w:val="622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时间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华文仿宋" w:hAnsi="华文仿宋"/>
                <w:sz w:val="28"/>
                <w:szCs w:val="28"/>
                <w:shd w:val="nil" w:color="auto" w:fill="auto"/>
                <w:rtl w:val="0"/>
              </w:rPr>
              <w:t>202</w:t>
            </w:r>
            <w:r>
              <w:rPr>
                <w:rFonts w:ascii="华文仿宋" w:hAnsi="华文仿宋"/>
                <w:sz w:val="28"/>
                <w:szCs w:val="28"/>
                <w:shd w:val="nil" w:color="auto" w:fill="auto"/>
                <w:rtl w:val="0"/>
                <w:lang w:val="zh-CN" w:eastAsia="zh-CN"/>
              </w:rPr>
              <w:t>1</w:t>
            </w: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</w:rPr>
              <w:t>年</w:t>
            </w:r>
            <w:r>
              <w:rPr>
                <w:rFonts w:ascii="华文仿宋" w:hAnsi="华文仿宋"/>
                <w:sz w:val="28"/>
                <w:szCs w:val="28"/>
                <w:shd w:val="nil" w:color="auto" w:fill="auto"/>
                <w:rtl w:val="0"/>
                <w:lang w:val="zh-CN" w:eastAsia="zh-CN"/>
              </w:rPr>
              <w:t>4</w:t>
            </w: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</w:rPr>
              <w:t>月</w:t>
            </w:r>
          </w:p>
        </w:tc>
      </w:tr>
      <w:tr>
        <w:tblPrEx>
          <w:shd w:val="clear" w:color="auto" w:fill="cadfff"/>
        </w:tblPrEx>
        <w:trPr>
          <w:trHeight w:val="727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主题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rtl w:val="0"/>
              </w:rPr>
              <w:t xml:space="preserve">新教材 </w:t>
            </w:r>
            <w:r>
              <w:rPr>
                <w:rFonts w:ascii="华文仿宋" w:hAnsi="华文仿宋"/>
                <w:sz w:val="28"/>
                <w:szCs w:val="28"/>
                <w:rtl w:val="0"/>
              </w:rPr>
              <w:t>Video time</w:t>
            </w:r>
          </w:p>
        </w:tc>
      </w:tr>
      <w:tr>
        <w:tblPrEx>
          <w:shd w:val="clear" w:color="auto" w:fill="cadfff"/>
        </w:tblPrEx>
        <w:trPr>
          <w:trHeight w:val="754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年级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</w:rPr>
              <w:t>高</w:t>
            </w:r>
            <w:r>
              <w:rPr>
                <w:rFonts w:eastAsia="华文仿宋" w:hint="eastAsia"/>
                <w:sz w:val="28"/>
                <w:szCs w:val="28"/>
                <w:rtl w:val="0"/>
                <w:lang w:val="zh-CN" w:eastAsia="zh-CN"/>
              </w:rPr>
              <w:t>一</w:t>
            </w:r>
          </w:p>
        </w:tc>
      </w:tr>
      <w:tr>
        <w:tblPrEx>
          <w:shd w:val="clear" w:color="auto" w:fill="cadfff"/>
        </w:tblPrEx>
        <w:trPr>
          <w:trHeight w:val="3650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优点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numPr>
                <w:ilvl w:val="0"/>
                <w:numId w:val="1"/>
              </w:numPr>
              <w:rPr>
                <w:rFonts w:eastAsia="华文仿宋" w:hint="eastAsia"/>
                <w:sz w:val="28"/>
                <w:szCs w:val="28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戚老师的这节课</w:t>
            </w:r>
            <w:r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  <w:t>视频</w:t>
            </w: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内容十分充实，课容量比较大，思路清晰，</w:t>
            </w:r>
            <w:r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  <w:t>结合视频和听力填空引导学生参与，</w:t>
            </w: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过程中令小组之间互相竞争的模式充分调动了学生参与的积极性，使课堂生动活泼，大大提高了学生的参与度，真正做到学生是学习的主体，教师成为学习的引领者和促进者；</w:t>
            </w:r>
          </w:p>
          <w:p>
            <w:pPr>
              <w:pStyle w:val="Table Style 2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课堂个人特色十分明显，能够将特长融入教学活动中，并且课堂及时反馈效果很好；</w:t>
            </w:r>
          </w:p>
          <w:p>
            <w:pPr>
              <w:pStyle w:val="Table Style 2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课堂活动形式丰富，学案中各类活动设计丰富，能够保持学生的兴趣，提高了课堂参与度，有助于培养自主学习能力；</w:t>
            </w:r>
          </w:p>
          <w:p>
            <w:pPr>
              <w:pStyle w:val="Table Style 2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小组活动探讨热烈，学生自由发言，课堂轻松自如；</w:t>
            </w:r>
          </w:p>
          <w:p>
            <w:pPr>
              <w:pStyle w:val="Table Style 2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eastAsia="华文仿宋" w:hint="eastAsia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  <w:t>课程</w:t>
            </w: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设计逻辑性比较强。</w:t>
            </w:r>
          </w:p>
        </w:tc>
      </w:tr>
      <w:tr>
        <w:tblPrEx>
          <w:shd w:val="clear" w:color="auto" w:fill="cadfff"/>
        </w:tblPrEx>
        <w:trPr>
          <w:trHeight w:val="1513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不足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numPr>
                <w:ilvl w:val="0"/>
                <w:numId w:val="2"/>
              </w:numPr>
              <w:rPr>
                <w:rFonts w:eastAsia="华文仿宋" w:hint="eastAsia"/>
                <w:sz w:val="28"/>
                <w:szCs w:val="28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课堂气氛轻松但节奏略快；</w:t>
            </w:r>
          </w:p>
          <w:p>
            <w:pPr>
              <w:pStyle w:val="Table Style 2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课堂内容安排较多，没有按照预计完成。</w:t>
            </w:r>
          </w:p>
        </w:tc>
      </w:tr>
      <w:tr>
        <w:tblPrEx>
          <w:shd w:val="clear" w:color="auto" w:fill="cadfff"/>
        </w:tblPrEx>
        <w:trPr>
          <w:trHeight w:val="1708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改进建议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numPr>
                <w:ilvl w:val="0"/>
                <w:numId w:val="3"/>
              </w:numPr>
              <w:rPr>
                <w:rFonts w:eastAsia="华文仿宋" w:hint="eastAsia"/>
                <w:sz w:val="28"/>
                <w:szCs w:val="28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课程内容可以更加弹性，备课过程要考虑到学生理解可能遇到的难点，方便控制时间进程。</w:t>
            </w:r>
          </w:p>
        </w:tc>
      </w:tr>
    </w:tbl>
    <w:p>
      <w:pPr>
        <w:pStyle w:val="Body A"/>
        <w:widowControl w:val="0"/>
        <w:ind w:left="108" w:hanging="108"/>
      </w:pPr>
      <w:r/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华文仿宋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">
    <w:name w:val="Heading"/>
    <w:next w:val="Body A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Arial Unicode MS" w:cs="Arial Unicode MS" w:hAnsi="Arial Unicode MS" w:eastAsia="Arial Unicode MS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 w:color="000000"/>
      <w:shd w:val="nil" w:color="auto" w:fill="auto"/>
      <w:vertAlign w:val="baseline"/>
      <w:lang w:val="zh-TW" w:eastAsia="zh-TW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zh-TW" w:eastAsia="zh-TW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Helvetica Neue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zh-CN" w:eastAsia="zh-CN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