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before="0" w:line="360" w:lineRule="atLeast"/>
        <w:jc w:val="center"/>
        <w:rPr>
          <w:rFonts w:ascii="华文仿宋" w:cs="华文仿宋" w:hAnsi="华文仿宋" w:eastAsia="华文仿宋"/>
          <w:sz w:val="36"/>
          <w:szCs w:val="36"/>
        </w:rPr>
      </w:pPr>
      <w:r>
        <w:rPr>
          <w:rFonts w:eastAsia="华文仿宋" w:hint="eastAsia"/>
          <w:sz w:val="36"/>
          <w:szCs w:val="36"/>
          <w:rtl w:val="0"/>
          <w:lang w:val="zh-TW" w:eastAsia="zh-TW"/>
        </w:rPr>
        <w:t xml:space="preserve">评课 </w:t>
      </w:r>
      <w:r>
        <w:rPr>
          <w:rFonts w:ascii="华文仿宋" w:hAnsi="华文仿宋"/>
          <w:sz w:val="36"/>
          <w:szCs w:val="36"/>
          <w:rtl w:val="0"/>
          <w:lang w:val="zh-TW" w:eastAsia="zh-TW"/>
        </w:rPr>
        <w:t>1</w:t>
      </w:r>
      <w:r>
        <w:rPr>
          <w:rFonts w:ascii="华文仿宋" w:hAnsi="华文仿宋"/>
          <w:sz w:val="28"/>
          <w:szCs w:val="28"/>
          <w:rtl w:val="0"/>
          <w:lang w:val="zh-TW" w:eastAsia="zh-TW"/>
        </w:rPr>
        <w:t xml:space="preserve"> </w:t>
      </w:r>
    </w:p>
    <w:p>
      <w:pPr>
        <w:pStyle w:val="Default"/>
        <w:spacing w:before="0" w:line="280" w:lineRule="atLeast"/>
        <w:rPr>
          <w:rFonts w:ascii="华文仿宋" w:cs="华文仿宋" w:hAnsi="华文仿宋" w:eastAsia="华文仿宋"/>
          <w:sz w:val="28"/>
          <w:szCs w:val="28"/>
        </w:rPr>
      </w:pPr>
      <w:r>
        <w:rPr>
          <w:sz w:val="28"/>
          <w:szCs w:val="28"/>
        </w:rPr>
        <w:br w:type="textWrapping"/>
      </w:r>
    </w:p>
    <w:p>
      <w:pPr>
        <w:pStyle w:val="Default"/>
        <w:spacing w:before="0" w:line="280" w:lineRule="atLeast"/>
        <w:jc w:val="center"/>
        <w:rPr>
          <w:rFonts w:ascii="华文仿宋" w:cs="华文仿宋" w:hAnsi="华文仿宋" w:eastAsia="华文仿宋"/>
          <w:sz w:val="28"/>
          <w:szCs w:val="28"/>
        </w:rPr>
      </w:pPr>
      <w:r>
        <w:rPr>
          <w:sz w:val="28"/>
          <w:szCs w:val="28"/>
        </w:rPr>
        <w:br w:type="textWrapping"/>
      </w:r>
    </w:p>
    <w:p>
      <w:pPr>
        <w:pStyle w:val="Default"/>
        <w:spacing w:before="0" w:line="280" w:lineRule="atLeast"/>
        <w:jc w:val="center"/>
        <w:rPr>
          <w:rFonts w:ascii="华文仿宋" w:cs="华文仿宋" w:hAnsi="华文仿宋" w:eastAsia="华文仿宋"/>
          <w:sz w:val="28"/>
          <w:szCs w:val="28"/>
        </w:rPr>
      </w:pPr>
      <w:r>
        <w:rPr>
          <w:rFonts w:eastAsia="华文仿宋" w:hint="eastAsia"/>
          <w:sz w:val="28"/>
          <w:szCs w:val="28"/>
          <w:rtl w:val="0"/>
          <w:lang w:val="zh-TW" w:eastAsia="zh-TW"/>
        </w:rPr>
        <w:t>苏晴</w:t>
      </w:r>
    </w:p>
    <w:p>
      <w:pPr>
        <w:pStyle w:val="Default"/>
        <w:spacing w:before="0" w:line="280" w:lineRule="atLeast"/>
        <w:rPr>
          <w:rFonts w:ascii="华文仿宋" w:cs="华文仿宋" w:hAnsi="华文仿宋" w:eastAsia="华文仿宋"/>
          <w:sz w:val="28"/>
          <w:szCs w:val="28"/>
          <w:shd w:val="clear" w:color="auto" w:fill="9bca0a"/>
        </w:rPr>
      </w:pPr>
      <w:r>
        <w:rPr>
          <w:sz w:val="28"/>
          <w:szCs w:val="28"/>
        </w:rPr>
        <w:br w:type="textWrapping"/>
      </w:r>
    </w:p>
    <w:p>
      <w:pPr>
        <w:pStyle w:val="Default"/>
        <w:spacing w:before="0" w:line="280" w:lineRule="atLeast"/>
        <w:rPr>
          <w:rFonts w:ascii="华文仿宋" w:cs="华文仿宋" w:hAnsi="华文仿宋" w:eastAsia="华文仿宋"/>
          <w:sz w:val="28"/>
          <w:szCs w:val="28"/>
          <w:shd w:val="clear" w:color="auto" w:fill="9bca0a"/>
        </w:rPr>
      </w:pPr>
      <w:r>
        <w:rPr>
          <w:sz w:val="28"/>
          <w:szCs w:val="28"/>
          <w:shd w:val="clear" w:color="auto" w:fill="ffffff"/>
        </w:rPr>
        <w:br w:type="textWrapping"/>
      </w:r>
    </w:p>
    <w:p>
      <w:pPr>
        <w:pStyle w:val="Default"/>
        <w:spacing w:before="0" w:line="280" w:lineRule="atLeast"/>
        <w:rPr>
          <w:rFonts w:ascii="华文仿宋" w:cs="华文仿宋" w:hAnsi="华文仿宋" w:eastAsia="华文仿宋"/>
          <w:sz w:val="28"/>
          <w:szCs w:val="28"/>
          <w:shd w:val="clear" w:color="auto" w:fill="9bca0a"/>
        </w:rPr>
      </w:pPr>
      <w:r>
        <w:rPr>
          <w:sz w:val="28"/>
          <w:szCs w:val="28"/>
          <w:shd w:val="clear" w:color="auto" w:fill="ffffff"/>
        </w:rPr>
        <w:br w:type="textWrapping"/>
      </w:r>
    </w:p>
    <w:tbl>
      <w:tblPr>
        <w:tblW w:w="9640" w:type="dxa"/>
        <w:jc w:val="left"/>
        <w:tblInd w:w="93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fff"/>
        <w:tblLayout w:type="fixed"/>
      </w:tblPr>
      <w:tblGrid>
        <w:gridCol w:w="1560"/>
        <w:gridCol w:w="8080"/>
      </w:tblGrid>
      <w:tr>
        <w:tblPrEx>
          <w:shd w:val="clear" w:color="auto" w:fill="cadfff"/>
        </w:tblPrEx>
        <w:trPr>
          <w:trHeight w:val="292" w:hRule="atLeast"/>
        </w:trPr>
        <w:tc>
          <w:tcPr>
            <w:tcW w:type="dxa" w:w="15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spacing w:line="280" w:lineRule="atLeast"/>
            </w:pPr>
            <w:r>
              <w:rPr>
                <w:rFonts w:eastAsia="华文仿宋" w:hint="eastAsia"/>
                <w:sz w:val="28"/>
                <w:szCs w:val="28"/>
                <w:shd w:val="nil" w:color="auto" w:fill="auto"/>
                <w:rtl w:val="0"/>
                <w:lang w:val="zh-CN" w:eastAsia="zh-CN"/>
              </w:rPr>
              <w:t>执教老师</w:t>
            </w:r>
          </w:p>
        </w:tc>
        <w:tc>
          <w:tcPr>
            <w:tcW w:type="dxa" w:w="80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spacing w:line="280" w:lineRule="atLeast"/>
            </w:pPr>
            <w:r>
              <w:rPr>
                <w:rFonts w:eastAsia="华文仿宋" w:hint="eastAsia"/>
                <w:sz w:val="28"/>
                <w:szCs w:val="28"/>
                <w:rtl w:val="0"/>
                <w:lang w:val="zh-CN" w:eastAsia="zh-CN"/>
              </w:rPr>
              <w:t>袁俏云</w:t>
            </w:r>
            <w:r>
              <w:rPr>
                <w:rFonts w:eastAsia="华文仿宋" w:hint="eastAsia"/>
                <w:sz w:val="28"/>
                <w:szCs w:val="28"/>
                <w:shd w:val="nil" w:color="auto" w:fill="auto"/>
                <w:rtl w:val="0"/>
                <w:lang w:val="zh-CN" w:eastAsia="zh-CN"/>
              </w:rPr>
              <w:t>老师</w:t>
            </w:r>
          </w:p>
        </w:tc>
      </w:tr>
      <w:tr>
        <w:tblPrEx>
          <w:shd w:val="clear" w:color="auto" w:fill="cadfff"/>
        </w:tblPrEx>
        <w:trPr>
          <w:trHeight w:val="292" w:hRule="atLeast"/>
        </w:trPr>
        <w:tc>
          <w:tcPr>
            <w:tcW w:type="dxa" w:w="15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spacing w:line="280" w:lineRule="atLeast"/>
            </w:pPr>
            <w:r>
              <w:rPr>
                <w:rFonts w:eastAsia="华文仿宋" w:hint="eastAsia"/>
                <w:sz w:val="28"/>
                <w:szCs w:val="28"/>
                <w:shd w:val="nil" w:color="auto" w:fill="auto"/>
                <w:rtl w:val="0"/>
                <w:lang w:val="zh-CN" w:eastAsia="zh-CN"/>
              </w:rPr>
              <w:t>时间</w:t>
            </w:r>
          </w:p>
        </w:tc>
        <w:tc>
          <w:tcPr>
            <w:tcW w:type="dxa" w:w="80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tc>
      </w:tr>
      <w:tr>
        <w:tblPrEx>
          <w:shd w:val="clear" w:color="auto" w:fill="cadfff"/>
        </w:tblPrEx>
        <w:trPr>
          <w:trHeight w:val="292" w:hRule="atLeast"/>
        </w:trPr>
        <w:tc>
          <w:tcPr>
            <w:tcW w:type="dxa" w:w="15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spacing w:line="280" w:lineRule="atLeast"/>
            </w:pPr>
            <w:r>
              <w:rPr>
                <w:rFonts w:eastAsia="华文仿宋" w:hint="eastAsia"/>
                <w:sz w:val="28"/>
                <w:szCs w:val="28"/>
                <w:shd w:val="nil" w:color="auto" w:fill="auto"/>
                <w:rtl w:val="0"/>
                <w:lang w:val="zh-CN" w:eastAsia="zh-CN"/>
              </w:rPr>
              <w:t>主题</w:t>
            </w:r>
          </w:p>
        </w:tc>
        <w:tc>
          <w:tcPr>
            <w:tcW w:type="dxa" w:w="808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spacing w:line="280" w:lineRule="atLeast"/>
            </w:pPr>
            <w:r>
              <w:rPr>
                <w:rFonts w:eastAsia="华文仿宋" w:hint="eastAsia"/>
                <w:sz w:val="28"/>
                <w:szCs w:val="28"/>
                <w:rtl w:val="0"/>
              </w:rPr>
              <w:t>心理技能</w:t>
            </w:r>
          </w:p>
        </w:tc>
      </w:tr>
      <w:tr>
        <w:tblPrEx>
          <w:shd w:val="clear" w:color="auto" w:fill="cadfff"/>
        </w:tblPrEx>
        <w:trPr>
          <w:trHeight w:val="298" w:hRule="atLeast"/>
        </w:trPr>
        <w:tc>
          <w:tcPr>
            <w:tcW w:type="dxa" w:w="15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spacing w:line="280" w:lineRule="atLeast"/>
            </w:pPr>
            <w:r>
              <w:rPr>
                <w:rFonts w:eastAsia="华文仿宋" w:hint="eastAsia"/>
                <w:sz w:val="28"/>
                <w:szCs w:val="28"/>
                <w:shd w:val="nil" w:color="auto" w:fill="auto"/>
                <w:rtl w:val="0"/>
                <w:lang w:val="zh-CN" w:eastAsia="zh-CN"/>
              </w:rPr>
              <w:t>年级</w:t>
            </w:r>
          </w:p>
        </w:tc>
        <w:tc>
          <w:tcPr>
            <w:tcW w:type="dxa" w:w="8080"/>
            <w:tcBorders>
              <w:top w:val="single" w:color="000000" w:sz="2" w:space="0" w:shadow="0" w:frame="0"/>
              <w:left w:val="single" w:color="000000" w:sz="2" w:space="0" w:shadow="0" w:frame="0"/>
              <w:bottom w:val="single" w:color="000000" w:sz="8"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spacing w:line="280" w:lineRule="atLeast"/>
            </w:pPr>
            <w:r>
              <w:rPr>
                <w:rFonts w:eastAsia="华文仿宋" w:hint="eastAsia"/>
                <w:sz w:val="28"/>
                <w:szCs w:val="28"/>
                <w:shd w:val="nil" w:color="auto" w:fill="auto"/>
                <w:rtl w:val="0"/>
                <w:lang w:val="ja-JP" w:eastAsia="ja-JP"/>
              </w:rPr>
              <w:t>初</w:t>
            </w:r>
            <w:r>
              <w:rPr>
                <w:rFonts w:eastAsia="华文仿宋" w:hint="eastAsia"/>
                <w:sz w:val="28"/>
                <w:szCs w:val="28"/>
                <w:rtl w:val="0"/>
                <w:lang w:val="zh-CN" w:eastAsia="zh-CN"/>
              </w:rPr>
              <w:t>高中</w:t>
            </w:r>
          </w:p>
        </w:tc>
      </w:tr>
      <w:tr>
        <w:tblPrEx>
          <w:shd w:val="clear" w:color="auto" w:fill="cadfff"/>
        </w:tblPrEx>
        <w:trPr>
          <w:trHeight w:val="3120" w:hRule="atLeast"/>
        </w:trPr>
        <w:tc>
          <w:tcPr>
            <w:tcW w:type="dxa" w:w="1560"/>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auto"/>
            <w:tcMar>
              <w:top w:type="dxa" w:w="80"/>
              <w:left w:type="dxa" w:w="80"/>
              <w:bottom w:type="dxa" w:w="80"/>
              <w:right w:type="dxa" w:w="80"/>
            </w:tcMar>
            <w:vAlign w:val="top"/>
          </w:tcPr>
          <w:p>
            <w:pPr>
              <w:pStyle w:val="Table Style 2"/>
              <w:spacing w:line="280" w:lineRule="atLeast"/>
            </w:pPr>
            <w:r>
              <w:rPr>
                <w:rFonts w:eastAsia="华文仿宋" w:hint="eastAsia"/>
                <w:sz w:val="28"/>
                <w:szCs w:val="28"/>
                <w:shd w:val="nil" w:color="auto" w:fill="auto"/>
                <w:rtl w:val="0"/>
                <w:lang w:val="zh-CN" w:eastAsia="zh-CN"/>
              </w:rPr>
              <w:t>优点</w:t>
            </w:r>
          </w:p>
        </w:tc>
        <w:tc>
          <w:tcPr>
            <w:tcW w:type="dxa" w:w="80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Table Style 2"/>
              <w:numPr>
                <w:ilvl w:val="0"/>
                <w:numId w:val="1"/>
              </w:numPr>
              <w:spacing w:line="280" w:lineRule="atLeast"/>
              <w:rPr>
                <w:rFonts w:eastAsia="华文仿宋" w:hint="eastAsia"/>
                <w:sz w:val="28"/>
                <w:szCs w:val="28"/>
                <w:lang w:val="zh-TW" w:eastAsia="zh-TW"/>
              </w:rPr>
            </w:pPr>
            <w:r>
              <w:rPr>
                <w:rFonts w:eastAsia="华文仿宋" w:hint="eastAsia"/>
                <w:sz w:val="28"/>
                <w:szCs w:val="28"/>
                <w:shd w:val="nil" w:color="auto" w:fill="auto"/>
                <w:rtl w:val="0"/>
                <w:lang w:val="zh-TW" w:eastAsia="zh-TW"/>
              </w:rPr>
              <w:t>对</w:t>
            </w:r>
            <w:r>
              <w:rPr>
                <w:rFonts w:eastAsia="华文仿宋" w:hint="eastAsia"/>
                <w:sz w:val="28"/>
                <w:szCs w:val="28"/>
                <w:rtl w:val="0"/>
                <w:lang w:val="zh-TW" w:eastAsia="zh-TW"/>
              </w:rPr>
              <w:t>学生心理</w:t>
            </w:r>
            <w:r>
              <w:rPr>
                <w:rFonts w:eastAsia="华文仿宋" w:hint="eastAsia"/>
                <w:sz w:val="28"/>
                <w:szCs w:val="28"/>
                <w:shd w:val="nil" w:color="auto" w:fill="auto"/>
                <w:rtl w:val="0"/>
                <w:lang w:val="zh-TW" w:eastAsia="zh-TW"/>
              </w:rPr>
              <w:t>分析评价很到位；</w:t>
            </w:r>
          </w:p>
          <w:p>
            <w:pPr>
              <w:pStyle w:val="Table Style 2"/>
              <w:numPr>
                <w:ilvl w:val="0"/>
                <w:numId w:val="1"/>
              </w:numPr>
              <w:bidi w:val="0"/>
              <w:spacing w:line="280" w:lineRule="atLeast"/>
              <w:ind w:right="0"/>
              <w:jc w:val="left"/>
              <w:rPr>
                <w:rFonts w:eastAsia="华文仿宋" w:hint="eastAsia"/>
                <w:sz w:val="28"/>
                <w:szCs w:val="28"/>
                <w:rtl w:val="0"/>
                <w:lang w:val="zh-TW" w:eastAsia="zh-TW"/>
              </w:rPr>
            </w:pPr>
            <w:r>
              <w:rPr>
                <w:rFonts w:eastAsia="华文仿宋" w:hint="eastAsia"/>
                <w:sz w:val="28"/>
                <w:szCs w:val="28"/>
                <w:shd w:val="nil" w:color="auto" w:fill="auto"/>
                <w:rtl w:val="0"/>
                <w:lang w:val="zh-TW" w:eastAsia="zh-TW"/>
              </w:rPr>
              <w:t>教师个人功底扎实，语言流畅，</w:t>
            </w:r>
            <w:r>
              <w:rPr>
                <w:rFonts w:eastAsia="华文仿宋" w:hint="eastAsia"/>
                <w:sz w:val="28"/>
                <w:szCs w:val="28"/>
                <w:rtl w:val="0"/>
                <w:lang w:val="zh-TW" w:eastAsia="zh-TW"/>
              </w:rPr>
              <w:t>对班主任工作有非常积极的作用</w:t>
            </w:r>
            <w:r>
              <w:rPr>
                <w:rFonts w:eastAsia="华文仿宋" w:hint="eastAsia"/>
                <w:sz w:val="28"/>
                <w:szCs w:val="28"/>
                <w:shd w:val="nil" w:color="auto" w:fill="auto"/>
                <w:rtl w:val="0"/>
                <w:lang w:val="zh-TW" w:eastAsia="zh-TW"/>
              </w:rPr>
              <w:t>；</w:t>
            </w:r>
          </w:p>
          <w:p>
            <w:pPr>
              <w:pStyle w:val="Table Style 2"/>
              <w:numPr>
                <w:ilvl w:val="0"/>
                <w:numId w:val="1"/>
              </w:numPr>
              <w:bidi w:val="0"/>
              <w:spacing w:line="280" w:lineRule="atLeast"/>
              <w:ind w:right="0"/>
              <w:jc w:val="left"/>
              <w:rPr>
                <w:rFonts w:eastAsia="华文仿宋" w:hint="eastAsia"/>
                <w:sz w:val="28"/>
                <w:szCs w:val="28"/>
                <w:rtl w:val="0"/>
                <w:lang w:val="zh-TW" w:eastAsia="zh-TW"/>
              </w:rPr>
            </w:pPr>
            <w:r>
              <w:rPr>
                <w:rFonts w:eastAsia="华文仿宋" w:hint="eastAsia"/>
                <w:sz w:val="28"/>
                <w:szCs w:val="28"/>
                <w:shd w:val="nil" w:color="auto" w:fill="auto"/>
                <w:rtl w:val="0"/>
                <w:lang w:val="zh-TW" w:eastAsia="zh-TW"/>
              </w:rPr>
              <w:t>教学逻辑清晰，步骤有序，明确紧凑；</w:t>
            </w:r>
          </w:p>
          <w:p>
            <w:pPr>
              <w:pStyle w:val="Table Style 2"/>
              <w:numPr>
                <w:ilvl w:val="0"/>
                <w:numId w:val="1"/>
              </w:numPr>
              <w:bidi w:val="0"/>
              <w:spacing w:line="280" w:lineRule="atLeast"/>
              <w:ind w:right="0"/>
              <w:jc w:val="left"/>
              <w:rPr>
                <w:rFonts w:eastAsia="华文仿宋" w:hint="eastAsia"/>
                <w:sz w:val="28"/>
                <w:szCs w:val="28"/>
                <w:rtl w:val="0"/>
                <w:lang w:val="zh-TW" w:eastAsia="zh-TW"/>
              </w:rPr>
            </w:pPr>
            <w:r>
              <w:rPr>
                <w:rFonts w:eastAsia="华文仿宋" w:hint="eastAsia"/>
                <w:sz w:val="28"/>
                <w:szCs w:val="28"/>
                <w:shd w:val="nil" w:color="auto" w:fill="auto"/>
                <w:rtl w:val="0"/>
                <w:lang w:val="zh-TW" w:eastAsia="zh-TW"/>
              </w:rPr>
              <w:t>教师个人特色鲜明，准备充足，活动设计</w:t>
            </w:r>
            <w:r>
              <w:rPr>
                <w:rFonts w:eastAsia="华文仿宋" w:hint="eastAsia"/>
                <w:sz w:val="28"/>
                <w:szCs w:val="28"/>
                <w:rtl w:val="0"/>
                <w:lang w:val="zh-TW" w:eastAsia="zh-TW"/>
              </w:rPr>
              <w:t>非常有趣味性</w:t>
            </w:r>
            <w:r>
              <w:rPr>
                <w:rFonts w:eastAsia="华文仿宋" w:hint="eastAsia"/>
                <w:sz w:val="28"/>
                <w:szCs w:val="28"/>
                <w:shd w:val="nil" w:color="auto" w:fill="auto"/>
                <w:rtl w:val="0"/>
                <w:lang w:val="zh-TW" w:eastAsia="zh-TW"/>
              </w:rPr>
              <w:t>；</w:t>
            </w:r>
          </w:p>
          <w:p>
            <w:pPr>
              <w:pStyle w:val="Table Style 2"/>
              <w:numPr>
                <w:ilvl w:val="0"/>
                <w:numId w:val="1"/>
              </w:numPr>
              <w:bidi w:val="0"/>
              <w:spacing w:line="280" w:lineRule="atLeast"/>
              <w:ind w:right="0"/>
              <w:jc w:val="left"/>
              <w:rPr>
                <w:rFonts w:eastAsia="华文仿宋" w:hint="eastAsia"/>
                <w:sz w:val="28"/>
                <w:szCs w:val="28"/>
                <w:rtl w:val="0"/>
                <w:lang w:val="zh-TW" w:eastAsia="zh-TW"/>
              </w:rPr>
            </w:pPr>
            <w:r>
              <w:rPr>
                <w:rFonts w:eastAsia="华文仿宋" w:hint="eastAsia"/>
                <w:sz w:val="28"/>
                <w:szCs w:val="28"/>
                <w:shd w:val="nil" w:color="auto" w:fill="auto"/>
                <w:rtl w:val="0"/>
                <w:lang w:val="zh-TW" w:eastAsia="zh-TW"/>
              </w:rPr>
              <w:t>课堂指令简单明了；</w:t>
            </w:r>
          </w:p>
          <w:p>
            <w:pPr>
              <w:pStyle w:val="Table Style 2"/>
              <w:numPr>
                <w:ilvl w:val="0"/>
                <w:numId w:val="1"/>
              </w:numPr>
              <w:bidi w:val="0"/>
              <w:spacing w:line="280" w:lineRule="atLeast"/>
              <w:ind w:right="0"/>
              <w:jc w:val="left"/>
              <w:rPr>
                <w:rFonts w:eastAsia="华文仿宋" w:hint="eastAsia"/>
                <w:sz w:val="28"/>
                <w:szCs w:val="28"/>
                <w:rtl w:val="0"/>
                <w:lang w:val="zh-TW" w:eastAsia="zh-TW"/>
              </w:rPr>
            </w:pPr>
            <w:r>
              <w:rPr>
                <w:rFonts w:eastAsia="华文仿宋" w:hint="eastAsia"/>
                <w:sz w:val="28"/>
                <w:szCs w:val="28"/>
                <w:rtl w:val="0"/>
                <w:lang w:val="zh-TW" w:eastAsia="zh-TW"/>
              </w:rPr>
              <w:t>对于辨别有心理问题的学生以及增强和学生的沟通效率起到了非常积极的作用。</w:t>
            </w:r>
          </w:p>
        </w:tc>
      </w:tr>
      <w:tr>
        <w:tblPrEx>
          <w:shd w:val="clear" w:color="auto" w:fill="cadfff"/>
        </w:tblPrEx>
        <w:trPr>
          <w:trHeight w:val="320" w:hRule="atLeast"/>
        </w:trPr>
        <w:tc>
          <w:tcPr>
            <w:tcW w:type="dxa" w:w="1560"/>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f5f5f5"/>
            <w:tcMar>
              <w:top w:type="dxa" w:w="80"/>
              <w:left w:type="dxa" w:w="80"/>
              <w:bottom w:type="dxa" w:w="80"/>
              <w:right w:type="dxa" w:w="80"/>
            </w:tcMar>
            <w:vAlign w:val="top"/>
          </w:tcPr>
          <w:p>
            <w:pPr>
              <w:pStyle w:val="Table Style 2"/>
              <w:spacing w:line="280" w:lineRule="atLeast"/>
            </w:pPr>
            <w:r>
              <w:rPr>
                <w:rFonts w:eastAsia="华文仿宋" w:hint="eastAsia"/>
                <w:sz w:val="28"/>
                <w:szCs w:val="28"/>
                <w:shd w:val="nil" w:color="auto" w:fill="auto"/>
                <w:rtl w:val="0"/>
                <w:lang w:val="zh-CN" w:eastAsia="zh-CN"/>
              </w:rPr>
              <w:t>不足</w:t>
            </w:r>
          </w:p>
        </w:tc>
        <w:tc>
          <w:tcPr>
            <w:tcW w:type="dxa" w:w="80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5f5f5"/>
            <w:tcMar>
              <w:top w:type="dxa" w:w="80"/>
              <w:left w:type="dxa" w:w="80"/>
              <w:bottom w:type="dxa" w:w="80"/>
              <w:right w:type="dxa" w:w="80"/>
            </w:tcMar>
            <w:vAlign w:val="top"/>
          </w:tcPr>
          <w:p/>
        </w:tc>
      </w:tr>
      <w:tr>
        <w:tblPrEx>
          <w:shd w:val="clear" w:color="auto" w:fill="cadfff"/>
        </w:tblPrEx>
        <w:trPr>
          <w:trHeight w:val="320" w:hRule="atLeast"/>
        </w:trPr>
        <w:tc>
          <w:tcPr>
            <w:tcW w:type="dxa" w:w="1560"/>
            <w:tcBorders>
              <w:top w:val="single" w:color="000000" w:sz="2" w:space="0" w:shadow="0" w:frame="0"/>
              <w:left w:val="single" w:color="000000" w:sz="2" w:space="0" w:shadow="0" w:frame="0"/>
              <w:bottom w:val="single" w:color="000000" w:sz="2" w:space="0" w:shadow="0" w:frame="0"/>
              <w:right w:val="single" w:color="000000" w:sz="8" w:space="0" w:shadow="0" w:frame="0"/>
            </w:tcBorders>
            <w:shd w:val="clear" w:color="auto" w:fill="auto"/>
            <w:tcMar>
              <w:top w:type="dxa" w:w="80"/>
              <w:left w:type="dxa" w:w="80"/>
              <w:bottom w:type="dxa" w:w="80"/>
              <w:right w:type="dxa" w:w="80"/>
            </w:tcMar>
            <w:vAlign w:val="top"/>
          </w:tcPr>
          <w:p>
            <w:pPr>
              <w:pStyle w:val="Table Style 2"/>
              <w:spacing w:line="280" w:lineRule="atLeast"/>
            </w:pPr>
            <w:r>
              <w:rPr>
                <w:rFonts w:eastAsia="华文仿宋" w:hint="eastAsia"/>
                <w:sz w:val="28"/>
                <w:szCs w:val="28"/>
                <w:shd w:val="nil" w:color="auto" w:fill="auto"/>
                <w:rtl w:val="0"/>
                <w:lang w:val="zh-CN" w:eastAsia="zh-CN"/>
              </w:rPr>
              <w:t>改进建议</w:t>
            </w:r>
          </w:p>
        </w:tc>
        <w:tc>
          <w:tcPr>
            <w:tcW w:type="dxa" w:w="808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Table Style 2"/>
              <w:numPr>
                <w:ilvl w:val="0"/>
                <w:numId w:val="2"/>
              </w:numPr>
              <w:spacing w:line="280" w:lineRule="atLeast"/>
              <w:rPr>
                <w:rFonts w:eastAsia="华文仿宋" w:hint="eastAsia"/>
                <w:sz w:val="28"/>
                <w:szCs w:val="28"/>
                <w:lang w:val="zh-TW" w:eastAsia="zh-TW"/>
              </w:rPr>
            </w:pPr>
            <w:r>
              <w:rPr>
                <w:rFonts w:eastAsia="华文仿宋" w:hint="eastAsia"/>
                <w:sz w:val="28"/>
                <w:szCs w:val="28"/>
                <w:shd w:val="nil" w:color="auto" w:fill="auto"/>
                <w:rtl w:val="0"/>
                <w:lang w:val="zh-TW" w:eastAsia="zh-TW"/>
              </w:rPr>
              <w:t>可以</w:t>
            </w:r>
            <w:r>
              <w:rPr>
                <w:rFonts w:eastAsia="华文仿宋" w:hint="eastAsia"/>
                <w:sz w:val="28"/>
                <w:szCs w:val="28"/>
                <w:rtl w:val="0"/>
                <w:lang w:val="zh-TW" w:eastAsia="zh-TW"/>
              </w:rPr>
              <w:t>适当举一些学生实例更好地帮助理解</w:t>
            </w:r>
          </w:p>
        </w:tc>
      </w:tr>
    </w:tbl>
    <w:p>
      <w:pPr>
        <w:pStyle w:val="Default"/>
        <w:widowControl w:val="0"/>
        <w:spacing w:before="0"/>
        <w:ind w:left="828" w:hanging="828"/>
      </w:pPr>
      <w:r>
        <w:rPr>
          <w:rFonts w:ascii="华文仿宋" w:cs="华文仿宋" w:hAnsi="华文仿宋" w:eastAsia="华文仿宋"/>
          <w:sz w:val="28"/>
          <w:szCs w:val="28"/>
          <w:shd w:val="clear" w:color="auto" w:fill="9bca0a"/>
        </w:rPr>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华文仿宋">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22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tab"/>
      <w:lvlText w:val="%2."/>
      <w:lvlJc w:val="left"/>
      <w:pPr>
        <w:ind w:left="40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tab"/>
      <w:lvlText w:val="%3."/>
      <w:lvlJc w:val="left"/>
      <w:pPr>
        <w:ind w:left="58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76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tab"/>
      <w:lvlText w:val="%5."/>
      <w:lvlJc w:val="left"/>
      <w:pPr>
        <w:ind w:left="94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tab"/>
      <w:lvlText w:val="%6."/>
      <w:lvlJc w:val="left"/>
      <w:pPr>
        <w:ind w:left="112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130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tab"/>
      <w:lvlText w:val="%8."/>
      <w:lvlJc w:val="left"/>
      <w:pPr>
        <w:ind w:left="148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tab"/>
      <w:lvlText w:val="%9."/>
      <w:lvlJc w:val="left"/>
      <w:pPr>
        <w:ind w:left="166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
    <w:multiLevelType w:val="hybridMultilevel"/>
    <w:lvl w:ilvl="0">
      <w:start w:val="1"/>
      <w:numFmt w:val="decimal"/>
      <w:suff w:val="tab"/>
      <w:lvlText w:val="%1."/>
      <w:lvlJc w:val="left"/>
      <w:pPr>
        <w:ind w:left="22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tab"/>
      <w:lvlText w:val="%2."/>
      <w:lvlJc w:val="left"/>
      <w:pPr>
        <w:ind w:left="40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tab"/>
      <w:lvlText w:val="%3."/>
      <w:lvlJc w:val="left"/>
      <w:pPr>
        <w:ind w:left="58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tab"/>
      <w:lvlText w:val="%4."/>
      <w:lvlJc w:val="left"/>
      <w:pPr>
        <w:ind w:left="76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tab"/>
      <w:lvlText w:val="%5."/>
      <w:lvlJc w:val="left"/>
      <w:pPr>
        <w:ind w:left="94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tab"/>
      <w:lvlText w:val="%6."/>
      <w:lvlJc w:val="left"/>
      <w:pPr>
        <w:ind w:left="112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tab"/>
      <w:lvlText w:val="%7."/>
      <w:lvlJc w:val="left"/>
      <w:pPr>
        <w:ind w:left="130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tab"/>
      <w:lvlText w:val="%8."/>
      <w:lvlJc w:val="left"/>
      <w:pPr>
        <w:ind w:left="148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tab"/>
      <w:lvlText w:val="%9."/>
      <w:lvlJc w:val="left"/>
      <w:pPr>
        <w:ind w:left="1660" w:hanging="220"/>
      </w:pPr>
      <w:rPr>
        <w:rFonts w:ascii="华文仿宋" w:cs="华文仿宋" w:hAnsi="华文仿宋" w:eastAsia="华文仿宋"/>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Arial Unicode MS" w:cs="Arial Unicode MS" w:hAnsi="Arial Unicode MS" w:eastAsia="Arial Unicode MS" w:hint="eastAsia"/>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zh-TW" w:eastAsia="zh-TW"/>
      <w14:textOutline w14:w="12700" w14:cap="flat">
        <w14:noFill/>
        <w14:miter w14:lim="400000"/>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Unicode MS" w:cs="Arial Unicode MS" w:hAnsi="Arial Unicode MS" w:eastAsia="Helvetica Neue" w:hint="eastAsia"/>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zh-CN" w:eastAsia="zh-CN"/>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