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Heading"/>
        <w:jc w:val="center"/>
        <w:outlineLvl w:val="1"/>
        <w:rPr>
          <w:rFonts w:ascii="华文仿宋" w:cs="华文仿宋" w:hAnsi="华文仿宋" w:eastAsia="华文仿宋"/>
        </w:rPr>
      </w:pPr>
      <w:r>
        <w:rPr>
          <w:rFonts w:eastAsia="华文仿宋" w:hint="eastAsia"/>
          <w:rtl w:val="0"/>
          <w:lang w:val="zh-TW" w:eastAsia="zh-TW"/>
        </w:rPr>
        <w:t xml:space="preserve">评课 </w:t>
      </w:r>
      <w:r>
        <w:rPr>
          <w:rFonts w:ascii="华文仿宋" w:hAnsi="华文仿宋"/>
          <w:rtl w:val="0"/>
          <w:lang w:val="zh-TW" w:eastAsia="zh-TW"/>
        </w:rPr>
        <w:t>3</w:t>
      </w:r>
    </w:p>
    <w:p>
      <w:pPr>
        <w:pStyle w:val="Body A"/>
        <w:rPr>
          <w:rFonts w:ascii="华文仿宋" w:cs="华文仿宋" w:hAnsi="华文仿宋" w:eastAsia="华文仿宋"/>
        </w:rPr>
      </w:pPr>
    </w:p>
    <w:p>
      <w:pPr>
        <w:pStyle w:val="Body A"/>
        <w:jc w:val="center"/>
        <w:rPr>
          <w:rFonts w:ascii="华文仿宋" w:cs="华文仿宋" w:hAnsi="华文仿宋" w:eastAsia="华文仿宋"/>
          <w:sz w:val="28"/>
          <w:szCs w:val="28"/>
        </w:rPr>
      </w:pPr>
    </w:p>
    <w:p>
      <w:pPr>
        <w:pStyle w:val="Body A"/>
        <w:jc w:val="center"/>
        <w:rPr>
          <w:rFonts w:ascii="华文仿宋" w:cs="华文仿宋" w:hAnsi="华文仿宋" w:eastAsia="华文仿宋"/>
          <w:sz w:val="28"/>
          <w:szCs w:val="28"/>
        </w:rPr>
      </w:pPr>
      <w:r>
        <w:rPr>
          <w:rFonts w:eastAsia="华文仿宋" w:hint="eastAsia"/>
          <w:sz w:val="28"/>
          <w:szCs w:val="28"/>
          <w:rtl w:val="0"/>
          <w:lang w:val="zh-TW" w:eastAsia="zh-TW"/>
        </w:rPr>
        <w:t>苏晴</w:t>
      </w:r>
    </w:p>
    <w:p>
      <w:pPr>
        <w:pStyle w:val="Body A"/>
        <w:rPr>
          <w:rFonts w:ascii="华文仿宋" w:cs="华文仿宋" w:hAnsi="华文仿宋" w:eastAsia="华文仿宋"/>
        </w:rPr>
      </w:pPr>
    </w:p>
    <w:p>
      <w:pPr>
        <w:pStyle w:val="Body A"/>
        <w:rPr>
          <w:rFonts w:ascii="华文仿宋" w:cs="华文仿宋" w:hAnsi="华文仿宋" w:eastAsia="华文仿宋"/>
        </w:rPr>
      </w:pPr>
    </w:p>
    <w:p>
      <w:pPr>
        <w:pStyle w:val="Body A"/>
        <w:rPr>
          <w:rFonts w:ascii="华文仿宋" w:cs="华文仿宋" w:hAnsi="华文仿宋" w:eastAsia="华文仿宋"/>
        </w:rPr>
      </w:pPr>
    </w:p>
    <w:tbl>
      <w:tblPr>
        <w:tblW w:w="963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1569"/>
        <w:gridCol w:w="8063"/>
      </w:tblGrid>
      <w:tr>
        <w:tblPrEx>
          <w:shd w:val="clear" w:color="auto" w:fill="cadfff"/>
        </w:tblPrEx>
        <w:trPr>
          <w:trHeight w:val="581" w:hRule="atLeast"/>
        </w:trPr>
        <w:tc>
          <w:tcPr>
            <w:tcW w:type="dxa" w:w="156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eastAsia="华文仿宋" w:hint="eastAsia"/>
                <w:sz w:val="28"/>
                <w:szCs w:val="28"/>
                <w:shd w:val="nil" w:color="auto" w:fill="auto"/>
                <w:rtl w:val="0"/>
                <w:lang w:val="zh-CN" w:eastAsia="zh-CN"/>
              </w:rPr>
              <w:t>执教老师</w:t>
            </w:r>
          </w:p>
        </w:tc>
        <w:tc>
          <w:tcPr>
            <w:tcW w:type="dxa" w:w="806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eastAsia="华文仿宋" w:hint="eastAsia"/>
                <w:sz w:val="28"/>
                <w:szCs w:val="28"/>
                <w:rtl w:val="0"/>
              </w:rPr>
              <w:t>高考复习研讨会专家</w:t>
            </w:r>
          </w:p>
        </w:tc>
      </w:tr>
      <w:tr>
        <w:tblPrEx>
          <w:shd w:val="clear" w:color="auto" w:fill="cadfff"/>
        </w:tblPrEx>
        <w:trPr>
          <w:trHeight w:val="580" w:hRule="atLeast"/>
        </w:trPr>
        <w:tc>
          <w:tcPr>
            <w:tcW w:type="dxa" w:w="156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eastAsia="华文仿宋" w:hint="eastAsia"/>
                <w:sz w:val="28"/>
                <w:szCs w:val="28"/>
                <w:shd w:val="nil" w:color="auto" w:fill="auto"/>
                <w:rtl w:val="0"/>
                <w:lang w:val="zh-CN" w:eastAsia="zh-CN"/>
              </w:rPr>
              <w:t>时间</w:t>
            </w:r>
          </w:p>
        </w:tc>
        <w:tc>
          <w:tcPr>
            <w:tcW w:type="dxa" w:w="806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华文仿宋" w:hAnsi="华文仿宋"/>
                <w:sz w:val="28"/>
                <w:szCs w:val="28"/>
                <w:shd w:val="nil" w:color="auto" w:fill="auto"/>
                <w:rtl w:val="0"/>
              </w:rPr>
              <w:t>202</w:t>
            </w:r>
            <w:r>
              <w:rPr>
                <w:rFonts w:ascii="华文仿宋" w:hAnsi="华文仿宋"/>
                <w:sz w:val="28"/>
                <w:szCs w:val="28"/>
                <w:shd w:val="nil" w:color="auto" w:fill="auto"/>
                <w:rtl w:val="0"/>
                <w:lang w:val="zh-CN" w:eastAsia="zh-CN"/>
              </w:rPr>
              <w:t>1</w:t>
            </w:r>
            <w:r>
              <w:rPr>
                <w:rFonts w:eastAsia="华文仿宋" w:hint="eastAsia"/>
                <w:sz w:val="28"/>
                <w:szCs w:val="28"/>
                <w:shd w:val="nil" w:color="auto" w:fill="auto"/>
                <w:rtl w:val="0"/>
              </w:rPr>
              <w:t>年</w:t>
            </w:r>
            <w:r>
              <w:rPr>
                <w:rFonts w:ascii="华文仿宋" w:hAnsi="华文仿宋"/>
                <w:sz w:val="28"/>
                <w:szCs w:val="28"/>
                <w:shd w:val="nil" w:color="auto" w:fill="auto"/>
                <w:rtl w:val="0"/>
                <w:lang w:val="zh-CN" w:eastAsia="zh-CN"/>
              </w:rPr>
              <w:t>3</w:t>
            </w:r>
            <w:r>
              <w:rPr>
                <w:rFonts w:eastAsia="华文仿宋" w:hint="eastAsia"/>
                <w:sz w:val="28"/>
                <w:szCs w:val="28"/>
                <w:shd w:val="nil" w:color="auto" w:fill="auto"/>
                <w:rtl w:val="0"/>
              </w:rPr>
              <w:t>月</w:t>
            </w:r>
          </w:p>
        </w:tc>
      </w:tr>
      <w:tr>
        <w:tblPrEx>
          <w:shd w:val="clear" w:color="auto" w:fill="cadfff"/>
        </w:tblPrEx>
        <w:trPr>
          <w:trHeight w:val="808" w:hRule="atLeast"/>
        </w:trPr>
        <w:tc>
          <w:tcPr>
            <w:tcW w:type="dxa" w:w="156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eastAsia="华文仿宋" w:hint="eastAsia"/>
                <w:sz w:val="28"/>
                <w:szCs w:val="28"/>
                <w:shd w:val="nil" w:color="auto" w:fill="auto"/>
                <w:rtl w:val="0"/>
                <w:lang w:val="zh-CN" w:eastAsia="zh-CN"/>
              </w:rPr>
              <w:t>主题</w:t>
            </w:r>
          </w:p>
        </w:tc>
        <w:tc>
          <w:tcPr>
            <w:tcW w:type="dxa" w:w="806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eastAsia="华文仿宋" w:hint="eastAsia"/>
                <w:sz w:val="28"/>
                <w:szCs w:val="28"/>
                <w:rtl w:val="0"/>
              </w:rPr>
              <w:t>高考复习研讨</w:t>
            </w:r>
          </w:p>
        </w:tc>
      </w:tr>
      <w:tr>
        <w:tblPrEx>
          <w:shd w:val="clear" w:color="auto" w:fill="cadfff"/>
        </w:tblPrEx>
        <w:trPr>
          <w:trHeight w:val="777" w:hRule="atLeast"/>
        </w:trPr>
        <w:tc>
          <w:tcPr>
            <w:tcW w:type="dxa" w:w="156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eastAsia="华文仿宋" w:hint="eastAsia"/>
                <w:sz w:val="28"/>
                <w:szCs w:val="28"/>
                <w:shd w:val="nil" w:color="auto" w:fill="auto"/>
                <w:rtl w:val="0"/>
                <w:lang w:val="zh-CN" w:eastAsia="zh-CN"/>
              </w:rPr>
              <w:t>年级</w:t>
            </w:r>
          </w:p>
        </w:tc>
        <w:tc>
          <w:tcPr>
            <w:tcW w:type="dxa" w:w="806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eastAsia="华文仿宋" w:hint="eastAsia"/>
                <w:sz w:val="28"/>
                <w:szCs w:val="28"/>
                <w:rtl w:val="0"/>
              </w:rPr>
              <w:t>高中</w:t>
            </w:r>
          </w:p>
        </w:tc>
      </w:tr>
      <w:tr>
        <w:tblPrEx>
          <w:shd w:val="clear" w:color="auto" w:fill="cadfff"/>
        </w:tblPrEx>
        <w:trPr>
          <w:trHeight w:val="4120" w:hRule="atLeast"/>
        </w:trPr>
        <w:tc>
          <w:tcPr>
            <w:tcW w:type="dxa" w:w="156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eastAsia="华文仿宋" w:hint="eastAsia"/>
                <w:sz w:val="28"/>
                <w:szCs w:val="28"/>
                <w:shd w:val="nil" w:color="auto" w:fill="auto"/>
                <w:rtl w:val="0"/>
                <w:lang w:val="zh-CN" w:eastAsia="zh-CN"/>
              </w:rPr>
              <w:t>优点</w:t>
            </w:r>
          </w:p>
        </w:tc>
        <w:tc>
          <w:tcPr>
            <w:tcW w:type="dxa" w:w="806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numPr>
                <w:ilvl w:val="0"/>
                <w:numId w:val="1"/>
              </w:numPr>
              <w:rPr>
                <w:rFonts w:eastAsia="华文仿宋" w:hint="eastAsia"/>
                <w:sz w:val="28"/>
                <w:szCs w:val="28"/>
                <w:lang w:val="zh-TW" w:eastAsia="zh-TW"/>
              </w:rPr>
            </w:pPr>
            <w:r>
              <w:rPr>
                <w:rFonts w:eastAsia="华文仿宋" w:hint="eastAsia"/>
                <w:sz w:val="28"/>
                <w:szCs w:val="28"/>
                <w:shd w:val="nil" w:color="auto" w:fill="auto"/>
                <w:rtl w:val="0"/>
                <w:lang w:val="zh-TW" w:eastAsia="zh-TW"/>
              </w:rPr>
              <w:t>教学理念新，能紧跟当前教学改革的热点，积极探索和推进，而且精益求精，选材</w:t>
            </w:r>
            <w:r>
              <w:rPr>
                <w:rFonts w:eastAsia="华文仿宋" w:hint="eastAsia"/>
                <w:sz w:val="28"/>
                <w:szCs w:val="28"/>
                <w:rtl w:val="0"/>
                <w:lang w:val="zh-TW" w:eastAsia="zh-TW"/>
              </w:rPr>
              <w:t>紧跟高考热点</w:t>
            </w:r>
            <w:r>
              <w:rPr>
                <w:rFonts w:eastAsia="华文仿宋" w:hint="eastAsia"/>
                <w:sz w:val="28"/>
                <w:szCs w:val="28"/>
                <w:shd w:val="nil" w:color="auto" w:fill="auto"/>
                <w:rtl w:val="0"/>
                <w:lang w:val="zh-TW" w:eastAsia="zh-TW"/>
              </w:rPr>
              <w:t>，能很明确的看出老师的教育原理准备相当充分。</w:t>
            </w:r>
          </w:p>
          <w:p>
            <w:pPr>
              <w:pStyle w:val="Table Style 2"/>
              <w:numPr>
                <w:ilvl w:val="0"/>
                <w:numId w:val="1"/>
              </w:numPr>
              <w:bidi w:val="0"/>
              <w:ind w:right="0"/>
              <w:jc w:val="left"/>
              <w:rPr>
                <w:rFonts w:eastAsia="华文仿宋" w:hint="eastAsia"/>
                <w:sz w:val="28"/>
                <w:szCs w:val="28"/>
                <w:rtl w:val="0"/>
                <w:lang w:val="zh-TW" w:eastAsia="zh-TW"/>
              </w:rPr>
            </w:pPr>
            <w:r>
              <w:rPr>
                <w:rFonts w:eastAsia="华文仿宋" w:hint="eastAsia"/>
                <w:sz w:val="28"/>
                <w:szCs w:val="28"/>
                <w:shd w:val="nil" w:color="auto" w:fill="auto"/>
                <w:rtl w:val="0"/>
                <w:lang w:val="zh-TW" w:eastAsia="zh-TW"/>
              </w:rPr>
              <w:t>个人亲和力强，讲台上气场强大，语言清晰；</w:t>
            </w:r>
          </w:p>
          <w:p>
            <w:pPr>
              <w:pStyle w:val="Table Style 2"/>
              <w:numPr>
                <w:ilvl w:val="0"/>
                <w:numId w:val="1"/>
              </w:numPr>
              <w:bidi w:val="0"/>
              <w:ind w:right="0"/>
              <w:jc w:val="left"/>
              <w:rPr>
                <w:rFonts w:eastAsia="华文仿宋" w:hint="eastAsia"/>
                <w:sz w:val="28"/>
                <w:szCs w:val="28"/>
                <w:rtl w:val="0"/>
                <w:lang w:val="zh-TW" w:eastAsia="zh-TW"/>
              </w:rPr>
            </w:pPr>
            <w:r>
              <w:rPr>
                <w:rFonts w:eastAsia="华文仿宋" w:hint="eastAsia"/>
                <w:sz w:val="28"/>
                <w:szCs w:val="28"/>
                <w:shd w:val="nil" w:color="auto" w:fill="auto"/>
                <w:rtl w:val="0"/>
                <w:lang w:val="zh-TW" w:eastAsia="zh-TW"/>
              </w:rPr>
              <w:t>课堂任务设计由简到难，层次清晰，任务种类多样化</w:t>
            </w:r>
            <w:r>
              <w:rPr>
                <w:rFonts w:eastAsia="华文仿宋" w:hint="eastAsia"/>
                <w:sz w:val="28"/>
                <w:szCs w:val="28"/>
                <w:shd w:val="nil" w:color="auto" w:fill="auto"/>
                <w:rtl w:val="0"/>
                <w:lang w:val="zh-TW" w:eastAsia="zh-TW"/>
              </w:rPr>
              <w:t>，</w:t>
            </w:r>
            <w:r>
              <w:rPr>
                <w:rFonts w:eastAsia="华文仿宋" w:hint="eastAsia"/>
                <w:sz w:val="28"/>
                <w:szCs w:val="28"/>
                <w:rtl w:val="0"/>
                <w:lang w:val="zh-TW" w:eastAsia="zh-TW"/>
              </w:rPr>
              <w:t>有非常实际的指导作用</w:t>
            </w:r>
            <w:r>
              <w:rPr>
                <w:rFonts w:eastAsia="华文仿宋" w:hint="eastAsia"/>
                <w:sz w:val="28"/>
                <w:szCs w:val="28"/>
                <w:shd w:val="nil" w:color="auto" w:fill="auto"/>
                <w:rtl w:val="0"/>
                <w:lang w:val="zh-TW" w:eastAsia="zh-TW"/>
              </w:rPr>
              <w:t>；</w:t>
            </w:r>
          </w:p>
          <w:p>
            <w:pPr>
              <w:pStyle w:val="Table Style 2"/>
              <w:numPr>
                <w:ilvl w:val="0"/>
                <w:numId w:val="1"/>
              </w:numPr>
              <w:bidi w:val="0"/>
              <w:ind w:right="0"/>
              <w:jc w:val="left"/>
              <w:rPr>
                <w:rFonts w:eastAsia="华文仿宋" w:hint="eastAsia"/>
                <w:sz w:val="28"/>
                <w:szCs w:val="28"/>
                <w:rtl w:val="0"/>
                <w:lang w:val="zh-TW" w:eastAsia="zh-TW"/>
              </w:rPr>
            </w:pPr>
            <w:r>
              <w:rPr>
                <w:rFonts w:eastAsia="华文仿宋" w:hint="eastAsia"/>
                <w:sz w:val="28"/>
                <w:szCs w:val="28"/>
                <w:shd w:val="nil" w:color="auto" w:fill="auto"/>
                <w:rtl w:val="0"/>
                <w:lang w:val="zh-TW" w:eastAsia="zh-TW"/>
              </w:rPr>
              <w:t>个人功底深厚，语言流畅，课堂指令非常清晰，并且精于时间掌握；</w:t>
            </w:r>
          </w:p>
        </w:tc>
      </w:tr>
      <w:tr>
        <w:tblPrEx>
          <w:shd w:val="clear" w:color="auto" w:fill="cadfff"/>
        </w:tblPrEx>
        <w:trPr>
          <w:trHeight w:val="587" w:hRule="atLeast"/>
        </w:trPr>
        <w:tc>
          <w:tcPr>
            <w:tcW w:type="dxa" w:w="156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eastAsia="华文仿宋" w:hint="eastAsia"/>
                <w:sz w:val="28"/>
                <w:szCs w:val="28"/>
                <w:shd w:val="nil" w:color="auto" w:fill="auto"/>
                <w:rtl w:val="0"/>
                <w:lang w:val="zh-CN" w:eastAsia="zh-CN"/>
              </w:rPr>
              <w:t>不足</w:t>
            </w:r>
          </w:p>
        </w:tc>
        <w:tc>
          <w:tcPr>
            <w:tcW w:type="dxa" w:w="806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numPr>
                <w:ilvl w:val="0"/>
                <w:numId w:val="2"/>
              </w:numPr>
              <w:rPr>
                <w:rFonts w:eastAsia="华文仿宋" w:hint="eastAsia"/>
                <w:sz w:val="28"/>
                <w:szCs w:val="28"/>
                <w:lang w:val="zh-TW" w:eastAsia="zh-TW"/>
              </w:rPr>
            </w:pPr>
            <w:r>
              <w:rPr>
                <w:rFonts w:eastAsia="华文仿宋" w:hint="eastAsia"/>
                <w:sz w:val="28"/>
                <w:szCs w:val="28"/>
                <w:shd w:val="nil" w:color="auto" w:fill="auto"/>
                <w:rtl w:val="0"/>
                <w:lang w:val="zh-TW" w:eastAsia="zh-TW"/>
              </w:rPr>
              <w:t>说课口语速度略快，反应时间不足</w:t>
            </w:r>
          </w:p>
        </w:tc>
      </w:tr>
      <w:tr>
        <w:tblPrEx>
          <w:shd w:val="clear" w:color="auto" w:fill="cadfff"/>
        </w:tblPrEx>
        <w:trPr>
          <w:trHeight w:val="834" w:hRule="atLeast"/>
        </w:trPr>
        <w:tc>
          <w:tcPr>
            <w:tcW w:type="dxa" w:w="156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eastAsia="华文仿宋" w:hint="eastAsia"/>
                <w:sz w:val="28"/>
                <w:szCs w:val="28"/>
                <w:shd w:val="nil" w:color="auto" w:fill="auto"/>
                <w:rtl w:val="0"/>
                <w:lang w:val="zh-CN" w:eastAsia="zh-CN"/>
              </w:rPr>
              <w:t>改进建议</w:t>
            </w:r>
          </w:p>
        </w:tc>
        <w:tc>
          <w:tcPr>
            <w:tcW w:type="dxa" w:w="806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 A"/>
        <w:widowControl w:val="0"/>
        <w:ind w:left="108" w:hanging="108"/>
      </w:pPr>
      <w:r>
        <w:rPr>
          <w:rFonts w:ascii="华文仿宋" w:cs="华文仿宋" w:hAnsi="华文仿宋" w:eastAsia="华文仿宋"/>
        </w:rPr>
      </w:r>
    </w:p>
    <w:sectPr>
      <w:headerReference w:type="default" r:id="rId4"/>
      <w:footerReference w:type="default" r:id="rId5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华文仿宋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decimal"/>
      <w:suff w:val="tab"/>
      <w:lvlText w:val="%1."/>
      <w:lvlJc w:val="left"/>
      <w:pPr>
        <w:ind w:left="45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81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17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53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9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25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61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97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33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multiLevelType w:val="hybridMultilevel"/>
    <w:lvl w:ilvl="0">
      <w:start w:val="1"/>
      <w:numFmt w:val="decimal"/>
      <w:suff w:val="tab"/>
      <w:lvlText w:val="%1."/>
      <w:lvlJc w:val="left"/>
      <w:pPr>
        <w:ind w:left="45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81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17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53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9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25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61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97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33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Heading">
    <w:name w:val="Heading"/>
    <w:next w:val="Body A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0"/>
    </w:pPr>
    <w:rPr>
      <w:rFonts w:ascii="Arial Unicode MS" w:cs="Arial Unicode MS" w:hAnsi="Arial Unicode MS" w:eastAsia="Arial Unicode MS" w:hint="eastAsi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36"/>
      <w:szCs w:val="36"/>
      <w:u w:val="none" w:color="000000"/>
      <w:shd w:val="nil" w:color="auto" w:fill="auto"/>
      <w:vertAlign w:val="baseline"/>
      <w:lang w:val="zh-TW" w:eastAsia="zh-TW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Body A">
    <w:name w:val="Body A"/>
    <w:next w:val="Body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 Unicode MS" w:cs="Arial Unicode MS" w:hAnsi="Arial Unicode MS" w:eastAsia="Arial Unicode MS" w:hint="eastAsi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zh-TW" w:eastAsia="zh-TW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Table Style 2">
    <w:name w:val="Table Style 2"/>
    <w:next w:val="Table Style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 Unicode MS" w:cs="Arial Unicode MS" w:hAnsi="Arial Unicode MS" w:eastAsia="Helvetica Neue" w:hint="eastAsi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zh-CN" w:eastAsia="zh-CN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