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506" w:rsidRPr="000C2EDC" w:rsidRDefault="000C2EDC">
      <w:pPr>
        <w:rPr>
          <w:sz w:val="32"/>
          <w:szCs w:val="32"/>
        </w:rPr>
      </w:pPr>
      <w:r>
        <w:rPr>
          <w:rFonts w:hint="eastAsia"/>
        </w:rPr>
        <w:t xml:space="preserve">         </w:t>
      </w:r>
      <w:r>
        <w:t xml:space="preserve">  </w:t>
      </w:r>
      <w:bookmarkStart w:id="0" w:name="_GoBack"/>
      <w:bookmarkEnd w:id="0"/>
      <w:r>
        <w:t xml:space="preserve"> </w:t>
      </w:r>
      <w:r w:rsidRPr="007A460A">
        <w:rPr>
          <w:sz w:val="32"/>
          <w:szCs w:val="32"/>
        </w:rPr>
        <w:t xml:space="preserve"> </w:t>
      </w:r>
      <w:r w:rsidR="003E2238" w:rsidRPr="007A460A">
        <w:rPr>
          <w:rFonts w:hint="eastAsia"/>
          <w:sz w:val="32"/>
          <w:szCs w:val="32"/>
        </w:rPr>
        <w:t>重</w:t>
      </w:r>
      <w:r w:rsidRPr="000C2EDC">
        <w:rPr>
          <w:rFonts w:hint="eastAsia"/>
          <w:sz w:val="32"/>
          <w:szCs w:val="32"/>
        </w:rPr>
        <w:t>读《史记》有感</w:t>
      </w:r>
    </w:p>
    <w:p w:rsidR="003C3506" w:rsidRDefault="003C3506">
      <w:pPr>
        <w:spacing w:line="360" w:lineRule="exact"/>
        <w:rPr>
          <w:sz w:val="32"/>
          <w:szCs w:val="32"/>
        </w:rPr>
      </w:pPr>
    </w:p>
    <w:p w:rsidR="003C3506" w:rsidRDefault="000C2EDC" w:rsidP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  <w:shd w:val="clear" w:color="auto" w:fill="FFFFFF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    《史记》是一部什么样的书？大家都知道，它是一部史书，而且是史部第一，就像希罗多德之于希腊，我们也是把司马迁当“史学之父”。但此书之意义，我理解，却并不在于它是开了纪传体的头。相反，它的意义在哪儿？我看，倒是在于它不是一部以朝代为断限，干巴巴罗列帝王将相，孳孳于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姓兴亡的狭义史书，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像晚于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它又模仿它的其他二十多部现在称为“正史”的书。我欣赏它，是因为它视野开阔，胸襟博大，早于它的事，它做了总结；晚于它的事，它开了头。它是一部上起轩辕，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下迄孝武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，“究天人之际，穷古今之变”的“大历史”。当时的“古代史”、“近代史”和“当代史”，它都讲到了。特别是他叙事生动，笔端熔铸感情，让人读着不枯燥，而且越想越有意思。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《史记》这部书伟大，它的作者更伟大。我们“读其书而想见其为人”，一定要读他的《太史公自序》和《报任安书》。《太史公自序》当然很重要，因为只有读这篇东西，你才能了解他的学术背景和创作过程，知道他有家学渊源、名师传授，“读万卷书，行万里路”，人生老道，所以文笔也老道。但我们千万不要忽略，他还有一封《报任安书》。如果我们说《太史公自序》是司马迁的“学术史”，那么《报任安书》就是他的“心灵史”。为什么呢？因为这是一篇“欲死不能”之人同“行将就死”之人的心灵对话，每句话都掏心窝子，里面浸透着生之热恋和死之痛苦。其辗转于生死之际的羞辱、恐惧和悲愤，五内俱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、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汗发沾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背的心理创伤，非身临其境者，绝难体会。小时候读《古文观止》，我总以为这是最震撼人心、催人泪下的一篇。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　以个人荣辱看历史，固然易生偏见，但司马迁讲历史，却能保持清醒客观，即使是写当代之事，即使是有切肤之痛，也能控制情绪，顶多在赞语中发点感慨，出乎人生，而入乎历史，写史和评史，绝不乱掺乎。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对司马迁的赞语和文学性描写，我很欣赏。因为恰好是在这样的话语之中，我们才能窥见其个性，进而理解他的传神之笔。例如，在他笔下，即使是“成者为王”的汉高祖也大有流氓气，即使是“败者为贼”的项羽也不失英雄相。就连当时的恐怖分子，他也会说“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不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欺其志，名垂后世”；就连李斯这样的“大坏蛋”，他也会描写其临死之际，父子相哭，遥想当年，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牵黄犬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，逐狡兔的天伦之乐。很多“大人物”写得就像“小人物”一样。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同司马迁的“发愤著书”有关，《李将军传》也值得一读（有趣的是，它是放在《匈奴传》和《卫将军传》的前边）。他讲李陵之祸，着墨不多，对比《汉书》，好像一笔带过。这种省略是出于“不敢言”还是“不忍言”，我们很难猜测。但他在赞语中说：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传曰“其身正，不令而行；其身不正，虽令不从”，其李将军之谓也？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余睹李将军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悛悛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如鄙人，口不能道辞。及死之日，天下知与不知，皆为尽哀。彼其忠实心诚信于士大夫也？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谚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曰“桃李不言，下自成蹊”。此言虽小，可以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谕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大也。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lastRenderedPageBreak/>
        <w:t xml:space="preserve">　　司马迁说的“李将军”是李广而不是李陵，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然陵为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广孙，有其家风，就连命运的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悲惨都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一模一样。读者若拿这段话去对比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一下苏建评卫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青的话，所谓“大将军至尊重，而天下之贤大夫毋称焉”（《卫将军传》赞引），他的“无言”不是更胜于“有言”吗？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汉代以后，“卫将军”只见称于记录汉代武功的史乘，而无闻于民间。相反，李将军却借诗文的传诵而大出其名。1997年，中国历史博物馆举办全国考古新发现精品展，其中有块敦煌市博物馆送展的西晋壁画砖（图一），上面有个骑马的人物，正在回头射箭，</w:t>
      </w:r>
      <w:proofErr w:type="gramStart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上有榜题为</w:t>
      </w:r>
      <w:proofErr w:type="gramEnd"/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>证，不是别人，正是李广其人。</w:t>
      </w:r>
    </w:p>
    <w:p w:rsidR="003C3506" w:rsidRDefault="000C2EDC">
      <w:pPr>
        <w:pStyle w:val="a3"/>
        <w:widowControl/>
        <w:shd w:val="clear" w:color="auto" w:fill="FFFFFF"/>
        <w:wordWrap w:val="0"/>
        <w:spacing w:beforeAutospacing="0" w:afterAutospacing="0" w:line="360" w:lineRule="exact"/>
        <w:jc w:val="both"/>
        <w:rPr>
          <w:rFonts w:asciiTheme="majorEastAsia" w:eastAsiaTheme="majorEastAsia" w:hAnsiTheme="majorEastAsia" w:cstheme="majorEastAsia"/>
          <w:color w:val="333333"/>
        </w:rPr>
      </w:pPr>
      <w:r>
        <w:rPr>
          <w:rFonts w:asciiTheme="majorEastAsia" w:eastAsiaTheme="majorEastAsia" w:hAnsiTheme="majorEastAsia" w:cstheme="majorEastAsia" w:hint="eastAsia"/>
          <w:color w:val="333333"/>
          <w:shd w:val="clear" w:color="auto" w:fill="FFFFFF"/>
        </w:rPr>
        <w:t xml:space="preserve">　　看见“李将军”，我就想到了司马迁，想到了史学中的文学力量。</w:t>
      </w:r>
    </w:p>
    <w:p w:rsidR="003C3506" w:rsidRDefault="003C3506">
      <w:pPr>
        <w:rPr>
          <w:sz w:val="28"/>
          <w:szCs w:val="28"/>
        </w:rPr>
      </w:pPr>
    </w:p>
    <w:sectPr w:rsidR="003C35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C2EDC"/>
    <w:rsid w:val="00172A27"/>
    <w:rsid w:val="003C3506"/>
    <w:rsid w:val="003E2238"/>
    <w:rsid w:val="007A460A"/>
    <w:rsid w:val="1CB07B7A"/>
    <w:rsid w:val="4B21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AF90A18-3468-4BFF-95DC-1D35A16E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Hyperlink"/>
    <w:basedOn w:val="a0"/>
    <w:rPr>
      <w:color w:val="0000FF"/>
      <w:u w:val="single"/>
    </w:rPr>
  </w:style>
  <w:style w:type="character" w:styleId="a5">
    <w:name w:val="footnote reference"/>
    <w:basedOn w:val="a0"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218</Words>
  <Characters>1244</Characters>
  <Application>Microsoft Office Word</Application>
  <DocSecurity>0</DocSecurity>
  <Lines>10</Lines>
  <Paragraphs>2</Paragraphs>
  <ScaleCrop>false</ScaleCrop>
  <Company>Kingsoft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个人用户</cp:lastModifiedBy>
  <cp:revision>4</cp:revision>
  <dcterms:created xsi:type="dcterms:W3CDTF">2014-10-29T12:08:00Z</dcterms:created>
  <dcterms:modified xsi:type="dcterms:W3CDTF">2022-01-19T07:28:00Z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