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E9" w:rsidRDefault="00155BC9">
      <w:pPr>
        <w:rPr>
          <w:sz w:val="32"/>
          <w:szCs w:val="32"/>
        </w:rPr>
      </w:pPr>
      <w:r>
        <w:rPr>
          <w:rFonts w:hint="eastAsia"/>
        </w:rPr>
        <w:t xml:space="preserve">           </w:t>
      </w:r>
      <w:r w:rsidR="008A3EEC" w:rsidRPr="008A3EEC">
        <w:rPr>
          <w:rFonts w:hint="eastAsia"/>
          <w:sz w:val="32"/>
          <w:szCs w:val="32"/>
        </w:rPr>
        <w:t>史学中的文学力量</w:t>
      </w:r>
      <w:r w:rsidR="008A3EEC">
        <w:rPr>
          <w:rFonts w:hint="eastAsia"/>
          <w:sz w:val="32"/>
          <w:szCs w:val="32"/>
        </w:rPr>
        <w:t>——</w:t>
      </w:r>
      <w:r>
        <w:rPr>
          <w:rFonts w:hint="eastAsia"/>
          <w:sz w:val="32"/>
          <w:szCs w:val="32"/>
        </w:rPr>
        <w:t>重读《史记》</w:t>
      </w:r>
      <w:bookmarkStart w:id="0" w:name="_GoBack"/>
      <w:bookmarkEnd w:id="0"/>
    </w:p>
    <w:p w:rsidR="00D87DE9" w:rsidRDefault="00D87DE9">
      <w:pPr>
        <w:spacing w:line="360" w:lineRule="exact"/>
        <w:rPr>
          <w:sz w:val="32"/>
          <w:szCs w:val="32"/>
        </w:rPr>
      </w:pP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    前一段时间，因为教学中遇到几个先秦人物的问题，动了重读史记的念头。说起来惭愧，除了在大学里读过一遍《史记》，工作后再也没有通读过了。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ind w:firstLine="480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《史记》是一部什么样的书？大家都知道，它是一部史书，而且是史部第一，就像希罗多德之于希腊，我们也是把司马迁当“史学之父”。但此书之意义，我理解，却并不在于它是开了纪传体的头。相反，它的意义在哪儿？我看，倒是在于它不是一部以朝代为断限，干巴巴罗列帝王将相，孳孳于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姓兴亡的狭义史书，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像晚于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它又模仿它的其他二十多部现在称为“正史”的书。我欣赏它，是因为它视野开阔，胸襟博大，早于它的事，它做了总结；晚于它的事，它开了头。它是一部上起轩辕，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下迄孝武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，“究天人之际，穷古今之变”的“大历史”。当时的“古代史”、“近代史”和“当代史”，它都讲到了。特别是他叙事生动，笔端熔铸感情，让人读着不枯燥，而且越想越有意思。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《史记》这部书伟大，它的作者更伟大。我们“读其书而想见其为人”，一定要读他的《太史公自序》和《报任安书》。《太史公自序》当然很重要，因为只有读这篇东西，你才能了解他的学术背景和创作过程，知道他有家学渊源、名师传授，“读万卷书，行万里路”，人生老道，所以文笔也老道。但我们千万不要忽略，他还有一封《报任安书》。如果我们说《太史公自序》是司马迁的“学术史”，那么《报任安书》就是他的“心灵史”。为什么呢？因为这是一篇“欲死不能”之人同“行将就死”之人的心灵对话，每句话都掏心窝子，里面浸透着生之热恋和死之痛苦。其辗转于生死之际的羞辱、恐惧和悲愤，五内俱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、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汗发沾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背的心理创伤，非身临其境者，绝难体会。小时候读《古文观止》，我总以为这是最震撼人心、催人泪下的一篇。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　以个人荣辱看历史，固然易生偏见，但司马迁讲历史，却能保持清醒客观，即使是写当代之事，即使是有切肤之痛，也能控制情绪，顶多在赞语中发点感慨，出乎人生，而入乎历史，写史和评史，绝不乱掺乎。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对司马迁的赞语和文学性描写，我很欣赏。因为恰好是在这样的话语之中，我们才能窥见其个性，进而理解他的传神之笔。例如，在他笔下，即使是“成者为王”的汉高祖也大有流氓气，即使是“败者为贼”的项羽也不失英雄相。就连当时的恐怖分子，他也会说“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不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欺其志，名垂后世”；就连李斯这样的“大坏蛋”，他也会描写其临死之际，父子相哭，遥想当年，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牵黄犬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，逐狡兔的天伦之乐。很多“大人物”写得就像“小人物”一样。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同司马迁的“发愤著书”有关，《李将军传》也值得一读（有趣的是，它是放在《匈奴传》和《卫将军传》的前边）。他讲李陵之祸，着墨不多，对比《汉书》，好像一笔带过。这种省略是出于“不敢言”还是“不忍言”，我们很难猜测。但他在赞语中说：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lastRenderedPageBreak/>
        <w:t xml:space="preserve">　　传曰“其身正，不令而行；其身不正，虽令不从”，其李将军之谓也？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余睹李将军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悛悛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如鄙人，口不能道辞。及死之日，天下知与不知，皆为尽哀。彼其忠实心诚信于士大夫也？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曰“桃李不言，下自成蹊”。此言虽小，可以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谕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大也。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司马迁说的“李将军”是李广而不是李陵，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然陵为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广孙，有其家风，就连命运的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悲惨都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一模一样。读者若拿这段话去对比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一下苏建评卫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青的话，所谓“大将军至尊重，而天下之贤大夫毋称焉”（《卫将军传》赞引），他的“无言”不是更胜于“有言”吗？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汉代以后，“卫将军”只见称于记录汉代武功的史乘，而无闻于民间。相反，李将军却借诗文的传诵而大出其名。1997年，中国历史博物馆举办全国考古新发现精品展，其中有块敦煌市博物馆送展的西晋壁画砖（图一），上面有个骑马的人物，正在回头射箭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上有榜题为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证，不是别人，正是李广其人。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看见“李将军”，我就想到了司马迁，想到了</w:t>
      </w:r>
      <w:bookmarkStart w:id="1" w:name="OLE_LINK1"/>
      <w:bookmarkStart w:id="2" w:name="OLE_LINK2"/>
      <w:bookmarkStart w:id="3" w:name="OLE_LINK3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史学中的文学力量</w:t>
      </w:r>
      <w:bookmarkEnd w:id="1"/>
      <w:bookmarkEnd w:id="2"/>
      <w:bookmarkEnd w:id="3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。</w:t>
      </w:r>
    </w:p>
    <w:p w:rsidR="00D87DE9" w:rsidRDefault="00D87DE9">
      <w:pPr>
        <w:rPr>
          <w:sz w:val="28"/>
          <w:szCs w:val="28"/>
        </w:rPr>
      </w:pPr>
    </w:p>
    <w:sectPr w:rsidR="00D87D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55BC9"/>
    <w:rsid w:val="00172A27"/>
    <w:rsid w:val="008A3EEC"/>
    <w:rsid w:val="00D87DE9"/>
    <w:rsid w:val="1CB07B7A"/>
    <w:rsid w:val="4B21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519199B-B745-4269-A45F-BCBD1C2E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otnote reference"/>
    <w:basedOn w:val="a0"/>
    <w:rPr>
      <w:rFonts w:ascii="Times New Roman" w:eastAsia="宋体" w:hAnsi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229</Words>
  <Characters>1306</Characters>
  <Application>Microsoft Office Word</Application>
  <DocSecurity>0</DocSecurity>
  <Lines>10</Lines>
  <Paragraphs>3</Paragraphs>
  <ScaleCrop>false</ScaleCrop>
  <Company>Kingsoft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个人用户</cp:lastModifiedBy>
  <cp:revision>4</cp:revision>
  <dcterms:created xsi:type="dcterms:W3CDTF">2014-10-29T12:08:00Z</dcterms:created>
  <dcterms:modified xsi:type="dcterms:W3CDTF">2022-07-06T10:48:00Z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