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before="312" w:beforeLines="100" w:after="312" w:afterLines="100" w:line="300" w:lineRule="auto"/>
        <w:jc w:val="center"/>
        <w:textAlignment w:val="auto"/>
        <w:outlineLvl w:val="1"/>
        <w:rPr>
          <w:rFonts w:hint="eastAsia" w:ascii="黑体" w:hAnsi="黑体" w:eastAsia="黑体" w:cs="Times New Roman"/>
          <w:b/>
          <w:bCs/>
          <w:sz w:val="36"/>
          <w:szCs w:val="36"/>
          <w:lang w:eastAsia="zh-CN"/>
        </w:rPr>
      </w:pPr>
      <w:bookmarkStart w:id="0" w:name="_GoBack"/>
      <w:r>
        <w:rPr>
          <w:rFonts w:ascii="黑体" w:hAnsi="黑体" w:eastAsia="黑体" w:cs="Times New Roman"/>
          <w:b/>
          <w:bCs/>
          <w:sz w:val="36"/>
          <w:szCs w:val="36"/>
        </w:rPr>
        <w:t>《</w:t>
      </w:r>
      <w:r>
        <w:rPr>
          <w:rFonts w:hint="eastAsia" w:ascii="黑体" w:hAnsi="黑体" w:eastAsia="黑体" w:cs="Times New Roman"/>
          <w:b/>
          <w:bCs/>
          <w:sz w:val="36"/>
          <w:szCs w:val="36"/>
          <w:lang w:val="en-US" w:eastAsia="zh-CN"/>
        </w:rPr>
        <w:t>水浒传</w:t>
      </w:r>
      <w:r>
        <w:rPr>
          <w:rFonts w:ascii="黑体" w:hAnsi="黑体" w:eastAsia="黑体" w:cs="Times New Roman"/>
          <w:b/>
          <w:bCs/>
          <w:sz w:val="36"/>
          <w:szCs w:val="36"/>
        </w:rPr>
        <w:t>》</w:t>
      </w:r>
      <w:r>
        <w:rPr>
          <w:rFonts w:hint="eastAsia" w:ascii="黑体" w:hAnsi="黑体" w:eastAsia="黑体" w:cs="Times New Roman"/>
          <w:b/>
          <w:bCs/>
          <w:sz w:val="36"/>
          <w:szCs w:val="36"/>
          <w:lang w:eastAsia="zh-CN"/>
        </w:rPr>
        <w:t>阅读推进书</w:t>
      </w:r>
    </w:p>
    <w:bookmarkEnd w:id="0"/>
    <w:p>
      <w:pPr>
        <w:keepNext/>
        <w:keepLines/>
        <w:adjustRightInd w:val="0"/>
        <w:snapToGrid w:val="0"/>
        <w:spacing w:before="156" w:beforeLines="50" w:after="156" w:afterLines="50" w:line="300" w:lineRule="auto"/>
        <w:ind w:firstLine="602" w:firstLineChars="200"/>
        <w:jc w:val="left"/>
        <w:outlineLvl w:val="2"/>
        <w:rPr>
          <w:rFonts w:ascii="Times New Roman" w:hAnsi="Times New Roman" w:eastAsia="黑体" w:cs="Times New Roman"/>
          <w:b/>
          <w:bCs/>
          <w:sz w:val="30"/>
          <w:szCs w:val="30"/>
        </w:rPr>
      </w:pPr>
      <w:r>
        <w:rPr>
          <w:rFonts w:hint="eastAsia" w:ascii="Times New Roman" w:hAnsi="Times New Roman" w:eastAsia="黑体" w:cs="Times New Roman"/>
          <w:b/>
          <w:bCs/>
          <w:sz w:val="30"/>
          <w:szCs w:val="30"/>
        </w:rPr>
        <w:t>一、</w:t>
      </w:r>
      <w:r>
        <w:rPr>
          <w:rFonts w:ascii="Times New Roman" w:hAnsi="Times New Roman" w:eastAsia="黑体" w:cs="Times New Roman"/>
          <w:b/>
          <w:bCs/>
          <w:sz w:val="30"/>
          <w:szCs w:val="30"/>
        </w:rPr>
        <w:t>《</w:t>
      </w:r>
      <w:r>
        <w:rPr>
          <w:rFonts w:hint="eastAsia" w:ascii="Times New Roman" w:hAnsi="Times New Roman" w:eastAsia="黑体" w:cs="Times New Roman"/>
          <w:b/>
          <w:bCs/>
          <w:sz w:val="30"/>
          <w:szCs w:val="30"/>
          <w:lang w:val="en-US" w:eastAsia="zh-CN"/>
        </w:rPr>
        <w:t>水浒传</w:t>
      </w:r>
      <w:r>
        <w:rPr>
          <w:rFonts w:ascii="Times New Roman" w:hAnsi="Times New Roman" w:eastAsia="黑体" w:cs="Times New Roman"/>
          <w:b/>
          <w:bCs/>
          <w:sz w:val="30"/>
          <w:szCs w:val="30"/>
        </w:rPr>
        <w:t>》文本分析</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eastAsia="宋体" w:cs="Times New Roman"/>
          <w:sz w:val="21"/>
          <w:szCs w:val="21"/>
          <w:lang w:val="en-US" w:eastAsia="zh-CN"/>
        </w:rPr>
      </w:pPr>
      <w:r>
        <w:rPr>
          <w:rFonts w:hint="eastAsia" w:ascii="宋体" w:hAnsi="宋体" w:eastAsia="宋体" w:cs="Times New Roman"/>
          <w:sz w:val="21"/>
          <w:szCs w:val="21"/>
        </w:rPr>
        <w:t>《水浒传》是人教版九年级语文上册“名著导读”版块推荐阅读名著</w:t>
      </w:r>
      <w:r>
        <w:rPr>
          <w:rFonts w:hint="eastAsia" w:ascii="宋体" w:hAnsi="宋体" w:eastAsia="宋体" w:cs="Times New Roman"/>
          <w:sz w:val="21"/>
          <w:szCs w:val="21"/>
          <w:lang w:eastAsia="zh-CN"/>
        </w:rPr>
        <w:t>，</w:t>
      </w:r>
      <w:r>
        <w:rPr>
          <w:rFonts w:hint="eastAsia" w:ascii="宋体" w:hAnsi="宋体" w:eastAsia="宋体" w:cs="Times New Roman"/>
          <w:sz w:val="21"/>
          <w:szCs w:val="21"/>
        </w:rPr>
        <w:t>是中国古典小说的代表作。</w:t>
      </w:r>
      <w:r>
        <w:rPr>
          <w:rFonts w:hint="eastAsia" w:ascii="宋体" w:hAnsi="宋体" w:eastAsia="宋体" w:cs="Times New Roman"/>
          <w:sz w:val="21"/>
          <w:szCs w:val="21"/>
          <w:lang w:val="en-US" w:eastAsia="zh-CN"/>
        </w:rPr>
        <w:t>作品通过对众多草莽英雄不同的人生经历和反抗道路的描写，记叙了以宋江为首的梁山好汉们从起义到兴盛再到最终失败的全过程。小说塑造了一大批栩栩如生的人物形象，特别是宋江、林冲、李逵、武松、鲁智深、吴用等，给读者留下了深刻印象。小说以其鲜明的主题、复杂的情节、鲜明的人物、质朴生动的古代白话语言吸引着广大读者，为学生提供了很好的学习范本。</w:t>
      </w:r>
    </w:p>
    <w:p>
      <w:pPr>
        <w:keepNext/>
        <w:keepLines/>
        <w:adjustRightInd w:val="0"/>
        <w:snapToGrid w:val="0"/>
        <w:spacing w:before="156" w:beforeLines="50" w:after="156" w:afterLines="50" w:line="300" w:lineRule="auto"/>
        <w:ind w:firstLine="602" w:firstLineChars="200"/>
        <w:jc w:val="left"/>
        <w:outlineLvl w:val="2"/>
        <w:rPr>
          <w:rFonts w:ascii="Times New Roman" w:hAnsi="Times New Roman" w:eastAsia="黑体" w:cs="Times New Roman"/>
          <w:b/>
          <w:bCs/>
          <w:sz w:val="30"/>
          <w:szCs w:val="30"/>
        </w:rPr>
      </w:pPr>
      <w:r>
        <w:rPr>
          <w:rFonts w:hint="eastAsia" w:ascii="Times New Roman" w:hAnsi="Times New Roman" w:eastAsia="黑体" w:cs="Times New Roman"/>
          <w:b/>
          <w:bCs/>
          <w:sz w:val="30"/>
          <w:szCs w:val="30"/>
        </w:rPr>
        <w:t>二、</w:t>
      </w:r>
      <w:r>
        <w:rPr>
          <w:rFonts w:ascii="Times New Roman" w:hAnsi="Times New Roman" w:eastAsia="黑体" w:cs="Times New Roman"/>
          <w:b/>
          <w:bCs/>
          <w:sz w:val="30"/>
          <w:szCs w:val="30"/>
        </w:rPr>
        <w:t>学情分析</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1.学生</w:t>
      </w:r>
      <w:r>
        <w:rPr>
          <w:rFonts w:hint="eastAsia" w:ascii="宋体" w:hAnsi="宋体" w:eastAsia="宋体" w:cs="Times New Roman"/>
          <w:sz w:val="21"/>
          <w:szCs w:val="21"/>
          <w:lang w:val="en-US" w:eastAsia="zh-CN"/>
        </w:rPr>
        <w:t>通过以往的阅读指导和实践</w:t>
      </w:r>
      <w:r>
        <w:rPr>
          <w:rFonts w:hint="eastAsia" w:ascii="宋体" w:hAnsi="宋体" w:eastAsia="宋体" w:cs="Times New Roman"/>
          <w:sz w:val="21"/>
          <w:szCs w:val="21"/>
        </w:rPr>
        <w:t>，已经初步了解了章回体小说等概念，掌握了一定的阅读技巧和方法（如精读、略读、浏览、跳读等），具有了一定</w:t>
      </w:r>
      <w:r>
        <w:rPr>
          <w:rFonts w:hint="eastAsia" w:ascii="宋体" w:hAnsi="宋体" w:eastAsia="宋体" w:cs="Times New Roman"/>
          <w:sz w:val="21"/>
          <w:szCs w:val="21"/>
          <w:lang w:eastAsia="zh-CN"/>
        </w:rPr>
        <w:t>的</w:t>
      </w:r>
      <w:r>
        <w:rPr>
          <w:rFonts w:hint="eastAsia" w:ascii="宋体" w:hAnsi="宋体" w:eastAsia="宋体" w:cs="Times New Roman"/>
          <w:sz w:val="21"/>
          <w:szCs w:val="21"/>
        </w:rPr>
        <w:t>读长篇古典小说的能力</w:t>
      </w:r>
      <w:r>
        <w:rPr>
          <w:rFonts w:hint="eastAsia" w:ascii="宋体" w:hAnsi="宋体" w:eastAsia="宋体" w:cs="Times New Roman"/>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lang w:val="en-US" w:eastAsia="zh-CN"/>
        </w:rPr>
      </w:pPr>
      <w:r>
        <w:rPr>
          <w:rFonts w:hint="eastAsia" w:ascii="宋体" w:hAnsi="宋体" w:eastAsia="宋体" w:cs="Times New Roman"/>
          <w:sz w:val="21"/>
          <w:szCs w:val="21"/>
        </w:rPr>
        <w:t>2.</w:t>
      </w:r>
      <w:r>
        <w:rPr>
          <w:rFonts w:hint="eastAsia" w:ascii="宋体" w:hAnsi="宋体" w:eastAsia="宋体" w:cs="Times New Roman"/>
          <w:sz w:val="21"/>
          <w:szCs w:val="21"/>
          <w:lang w:val="en-US" w:eastAsia="zh-CN"/>
        </w:rPr>
        <w:t>本书篇幅长、人物多，对学生来说理清情节和人物存在较大的难度。书中有</w:t>
      </w:r>
      <w:r>
        <w:rPr>
          <w:rFonts w:hint="eastAsia" w:ascii="宋体" w:hAnsi="宋体" w:eastAsia="宋体" w:cs="Times New Roman"/>
          <w:sz w:val="21"/>
          <w:szCs w:val="21"/>
        </w:rPr>
        <w:t>很多梁山好汉残忍杀人的情节，毫无人性，如何理解他们野蛮的一面？</w:t>
      </w:r>
      <w:r>
        <w:rPr>
          <w:rFonts w:hint="eastAsia" w:ascii="宋体" w:hAnsi="宋体" w:eastAsia="宋体" w:cs="Times New Roman"/>
          <w:sz w:val="21"/>
          <w:szCs w:val="21"/>
          <w:lang w:val="en-US" w:eastAsia="zh-CN"/>
        </w:rPr>
        <w:t>如何理解书中</w:t>
      </w:r>
      <w:r>
        <w:rPr>
          <w:rFonts w:hint="eastAsia" w:ascii="宋体" w:hAnsi="宋体" w:eastAsia="宋体" w:cs="Times New Roman"/>
          <w:sz w:val="21"/>
          <w:szCs w:val="21"/>
        </w:rPr>
        <w:t>“招安”</w:t>
      </w:r>
      <w:r>
        <w:rPr>
          <w:rFonts w:hint="eastAsia" w:ascii="宋体" w:hAnsi="宋体" w:eastAsia="宋体" w:cs="Times New Roman"/>
          <w:sz w:val="21"/>
          <w:szCs w:val="21"/>
          <w:lang w:val="en-US" w:eastAsia="zh-CN"/>
        </w:rPr>
        <w:t>的</w:t>
      </w:r>
      <w:r>
        <w:rPr>
          <w:rFonts w:hint="eastAsia" w:ascii="宋体" w:hAnsi="宋体" w:eastAsia="宋体" w:cs="Times New Roman"/>
          <w:sz w:val="21"/>
          <w:szCs w:val="21"/>
        </w:rPr>
        <w:t>结局？……这些</w:t>
      </w:r>
      <w:r>
        <w:rPr>
          <w:rFonts w:hint="eastAsia" w:ascii="宋体" w:hAnsi="宋体" w:eastAsia="宋体" w:cs="Times New Roman"/>
          <w:sz w:val="21"/>
          <w:szCs w:val="21"/>
          <w:lang w:val="en-US" w:eastAsia="zh-CN"/>
        </w:rPr>
        <w:t>阅读中的</w:t>
      </w:r>
      <w:r>
        <w:rPr>
          <w:rFonts w:hint="eastAsia" w:ascii="宋体" w:hAnsi="宋体" w:eastAsia="宋体" w:cs="Times New Roman"/>
          <w:sz w:val="21"/>
          <w:szCs w:val="21"/>
        </w:rPr>
        <w:t>困惑，都有待老师引导他们批判性地理解</w:t>
      </w:r>
      <w:r>
        <w:rPr>
          <w:rFonts w:hint="eastAsia" w:ascii="宋体" w:hAnsi="宋体" w:eastAsia="宋体" w:cs="Times New Roman"/>
          <w:sz w:val="21"/>
          <w:szCs w:val="21"/>
          <w:lang w:eastAsia="zh-CN"/>
        </w:rPr>
        <w:t>。</w:t>
      </w:r>
    </w:p>
    <w:p>
      <w:pPr>
        <w:keepNext/>
        <w:keepLines/>
        <w:adjustRightInd w:val="0"/>
        <w:snapToGrid w:val="0"/>
        <w:spacing w:before="156" w:beforeLines="50" w:after="156" w:afterLines="50" w:line="300" w:lineRule="auto"/>
        <w:ind w:firstLine="602" w:firstLineChars="200"/>
        <w:jc w:val="left"/>
        <w:outlineLvl w:val="2"/>
        <w:rPr>
          <w:rFonts w:ascii="Times New Roman" w:hAnsi="Times New Roman" w:eastAsia="黑体" w:cs="Times New Roman"/>
          <w:b/>
          <w:bCs/>
          <w:sz w:val="30"/>
          <w:szCs w:val="30"/>
        </w:rPr>
      </w:pPr>
      <w:r>
        <w:rPr>
          <w:rFonts w:hint="eastAsia" w:ascii="Times New Roman" w:hAnsi="Times New Roman" w:eastAsia="黑体" w:cs="Times New Roman"/>
          <w:b/>
          <w:bCs/>
          <w:sz w:val="30"/>
          <w:szCs w:val="30"/>
        </w:rPr>
        <w:t>三、</w:t>
      </w:r>
      <w:r>
        <w:rPr>
          <w:rFonts w:ascii="Times New Roman" w:hAnsi="Times New Roman" w:eastAsia="黑体" w:cs="Times New Roman"/>
          <w:b/>
          <w:bCs/>
          <w:sz w:val="30"/>
          <w:szCs w:val="30"/>
        </w:rPr>
        <w:t>教学目标</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义务教育语文课程标准（2011版）》强调“欣赏文学作品，有自己的情感体验，初步领悟作品的内涵，从中获得对自然、社会、人生的有益启示。对作品中感人的情境和形象，能说出自己的体验；品味作品中富于表现力的语言”。</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课本中对本书的读书方法指导，</w:t>
      </w:r>
      <w:r>
        <w:rPr>
          <w:rFonts w:hint="eastAsia" w:ascii="宋体" w:hAnsi="宋体" w:eastAsia="宋体" w:cs="Times New Roman"/>
          <w:sz w:val="21"/>
          <w:szCs w:val="21"/>
          <w:lang w:val="en-US" w:eastAsia="zh-CN"/>
        </w:rPr>
        <w:t>落脚于四个方面：把握题材特点、了解古代白话小说的艺术手法、分析人物形象、体会语言风格</w:t>
      </w:r>
      <w:r>
        <w:rPr>
          <w:rFonts w:hint="eastAsia" w:ascii="宋体" w:hAnsi="宋体" w:eastAsia="宋体" w:cs="Times New Roman"/>
          <w:sz w:val="21"/>
          <w:szCs w:val="21"/>
        </w:rPr>
        <w:t>。</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根据新课标及教材目标，《</w:t>
      </w:r>
      <w:r>
        <w:rPr>
          <w:rFonts w:hint="eastAsia" w:ascii="宋体" w:hAnsi="宋体" w:eastAsia="宋体" w:cs="Times New Roman"/>
          <w:sz w:val="21"/>
          <w:szCs w:val="21"/>
          <w:lang w:val="en-US" w:eastAsia="zh-CN"/>
        </w:rPr>
        <w:t>水浒传</w:t>
      </w:r>
      <w:r>
        <w:rPr>
          <w:rFonts w:hint="eastAsia" w:ascii="宋体" w:hAnsi="宋体" w:eastAsia="宋体" w:cs="Times New Roman"/>
          <w:sz w:val="21"/>
          <w:szCs w:val="21"/>
        </w:rPr>
        <w:t>》整本书的指导设计欲引导学生达成如下学习目标：</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default" w:ascii="宋体" w:hAnsi="宋体" w:eastAsia="宋体" w:cs="Times New Roman"/>
          <w:sz w:val="21"/>
          <w:szCs w:val="21"/>
          <w:lang w:val="en-US"/>
        </w:rPr>
      </w:pPr>
      <w:r>
        <w:rPr>
          <w:rFonts w:hint="eastAsia" w:ascii="宋体" w:hAnsi="宋体" w:eastAsia="宋体" w:cs="Times New Roman"/>
          <w:sz w:val="21"/>
          <w:szCs w:val="21"/>
        </w:rPr>
        <w:t>1.</w:t>
      </w:r>
      <w:r>
        <w:rPr>
          <w:rFonts w:hint="eastAsia" w:ascii="宋体" w:hAnsi="宋体" w:eastAsia="宋体" w:cs="Times New Roman"/>
          <w:sz w:val="21"/>
          <w:szCs w:val="21"/>
          <w:lang w:val="en-US" w:eastAsia="zh-CN"/>
        </w:rPr>
        <w:t>通读小说，了解故事梗概，把握小说的主要内容。</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lang w:eastAsia="zh-CN"/>
        </w:rPr>
      </w:pPr>
      <w:r>
        <w:rPr>
          <w:rFonts w:hint="eastAsia" w:ascii="宋体" w:hAnsi="宋体" w:eastAsia="宋体" w:cs="Times New Roman"/>
          <w:sz w:val="21"/>
          <w:szCs w:val="21"/>
        </w:rPr>
        <w:t>2.</w:t>
      </w:r>
      <w:r>
        <w:rPr>
          <w:rFonts w:hint="eastAsia" w:ascii="宋体" w:hAnsi="宋体" w:eastAsia="宋体" w:cs="Times New Roman"/>
          <w:sz w:val="21"/>
          <w:szCs w:val="21"/>
          <w:lang w:val="en-US" w:eastAsia="zh-CN"/>
        </w:rPr>
        <w:t>梳理重要情节，解读宋江、林冲、李逵、武松、鲁智深等重点人物形象</w:t>
      </w:r>
      <w:r>
        <w:rPr>
          <w:rFonts w:hint="eastAsia" w:ascii="宋体" w:hAnsi="宋体" w:eastAsia="宋体" w:cs="Times New Roman"/>
          <w:sz w:val="21"/>
          <w:szCs w:val="21"/>
          <w:lang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Times New Roman"/>
          <w:sz w:val="21"/>
          <w:szCs w:val="21"/>
        </w:rPr>
      </w:pPr>
      <w:r>
        <w:rPr>
          <w:rFonts w:hint="eastAsia" w:ascii="宋体" w:hAnsi="宋体" w:eastAsia="宋体" w:cs="Times New Roman"/>
          <w:sz w:val="21"/>
          <w:szCs w:val="21"/>
        </w:rPr>
        <w:t>3.</w:t>
      </w:r>
      <w:r>
        <w:rPr>
          <w:rFonts w:hint="eastAsia" w:ascii="宋体" w:hAnsi="宋体" w:eastAsia="宋体" w:cs="Times New Roman"/>
          <w:sz w:val="21"/>
          <w:szCs w:val="21"/>
          <w:lang w:val="en-US" w:eastAsia="zh-CN"/>
        </w:rPr>
        <w:t>引导学生辩证看待英雄人物的“忠义”行为及《水浒传》的意义与局限</w:t>
      </w:r>
      <w:r>
        <w:rPr>
          <w:rFonts w:hint="eastAsia" w:ascii="宋体" w:hAnsi="宋体" w:eastAsia="宋体" w:cs="Times New Roman"/>
          <w:sz w:val="21"/>
          <w:szCs w:val="21"/>
        </w:rPr>
        <w:t>。</w:t>
      </w:r>
    </w:p>
    <w:p>
      <w:pPr>
        <w:keepNext/>
        <w:keepLines/>
        <w:adjustRightInd w:val="0"/>
        <w:snapToGrid w:val="0"/>
        <w:spacing w:before="156" w:beforeLines="50" w:after="156" w:afterLines="50" w:line="300" w:lineRule="auto"/>
        <w:ind w:firstLine="602" w:firstLineChars="200"/>
        <w:jc w:val="left"/>
        <w:outlineLvl w:val="2"/>
        <w:rPr>
          <w:rFonts w:hint="eastAsia" w:ascii="Times New Roman" w:hAnsi="Times New Roman" w:eastAsia="黑体" w:cs="Times New Roman"/>
          <w:b/>
          <w:bCs/>
          <w:sz w:val="30"/>
          <w:szCs w:val="30"/>
        </w:rPr>
      </w:pPr>
      <w:r>
        <w:rPr>
          <w:rFonts w:hint="eastAsia" w:ascii="Times New Roman" w:hAnsi="Times New Roman" w:eastAsia="黑体" w:cs="Times New Roman"/>
          <w:b/>
          <w:bCs/>
          <w:sz w:val="30"/>
          <w:szCs w:val="30"/>
        </w:rPr>
        <w:t>四、阅读计划</w:t>
      </w:r>
    </w:p>
    <w:p>
      <w:pPr>
        <w:spacing w:line="360" w:lineRule="exact"/>
        <w:ind w:firstLine="1897" w:firstLineChars="900"/>
        <w:rPr>
          <w:rFonts w:ascii="宋体" w:hAnsi="宋体" w:eastAsia="宋体"/>
          <w:b/>
          <w:color w:val="000000" w:themeColor="text1"/>
          <w:sz w:val="21"/>
          <w:szCs w:val="21"/>
          <w14:textFill>
            <w14:solidFill>
              <w14:schemeClr w14:val="tx1"/>
            </w14:solidFill>
          </w14:textFill>
        </w:rPr>
      </w:pPr>
      <w:r>
        <w:rPr>
          <w:rFonts w:hint="eastAsia" w:ascii="宋体" w:hAnsi="宋体" w:eastAsia="宋体"/>
          <w:b/>
          <w:color w:val="000000" w:themeColor="text1"/>
          <w:sz w:val="21"/>
          <w:szCs w:val="21"/>
          <w14:textFill>
            <w14:solidFill>
              <w14:schemeClr w14:val="tx1"/>
            </w14:solidFill>
          </w14:textFill>
        </w:rPr>
        <w:t>《</w:t>
      </w:r>
      <w:r>
        <w:rPr>
          <w:rFonts w:hint="eastAsia" w:ascii="宋体" w:hAnsi="宋体" w:eastAsia="宋体"/>
          <w:b/>
          <w:color w:val="000000" w:themeColor="text1"/>
          <w:sz w:val="21"/>
          <w:szCs w:val="21"/>
          <w:lang w:val="en-US" w:eastAsia="zh-CN"/>
          <w14:textFill>
            <w14:solidFill>
              <w14:schemeClr w14:val="tx1"/>
            </w14:solidFill>
          </w14:textFill>
        </w:rPr>
        <w:t>水浒传</w:t>
      </w:r>
      <w:r>
        <w:rPr>
          <w:rFonts w:hint="eastAsia" w:ascii="宋体" w:hAnsi="宋体" w:eastAsia="宋体"/>
          <w:b/>
          <w:color w:val="000000" w:themeColor="text1"/>
          <w:sz w:val="21"/>
          <w:szCs w:val="21"/>
          <w14:textFill>
            <w14:solidFill>
              <w14:schemeClr w14:val="tx1"/>
            </w14:solidFill>
          </w14:textFill>
        </w:rPr>
        <w:t>》整本书阅读活动计划表</w:t>
      </w:r>
    </w:p>
    <w:tbl>
      <w:tblPr>
        <w:tblStyle w:val="3"/>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1260"/>
        <w:gridCol w:w="1812"/>
        <w:gridCol w:w="2112"/>
        <w:gridCol w:w="2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pPr>
              <w:rPr>
                <w:rFonts w:asciiTheme="minorEastAsia" w:hAnsiTheme="minorEastAsia" w:cstheme="minorEastAsia"/>
                <w:b/>
                <w:color w:val="000000" w:themeColor="text1"/>
                <w:sz w:val="21"/>
                <w:szCs w:val="21"/>
                <w14:textFill>
                  <w14:solidFill>
                    <w14:schemeClr w14:val="tx1"/>
                  </w14:solidFill>
                </w14:textFill>
              </w:rPr>
            </w:pPr>
            <w:r>
              <w:rPr>
                <w:rFonts w:hint="eastAsia" w:asciiTheme="minorEastAsia" w:hAnsiTheme="minorEastAsia" w:cstheme="minorEastAsia"/>
                <w:bCs/>
                <w:color w:val="000000" w:themeColor="text1"/>
                <w:sz w:val="21"/>
                <w:szCs w:val="21"/>
                <w14:textFill>
                  <w14:solidFill>
                    <w14:schemeClr w14:val="tx1"/>
                  </w14:solidFill>
                </w14:textFill>
              </w:rPr>
              <w:t>阅读阶段</w:t>
            </w:r>
          </w:p>
        </w:tc>
        <w:tc>
          <w:tcPr>
            <w:tcW w:w="1260" w:type="dxa"/>
          </w:tcPr>
          <w:p>
            <w:pPr>
              <w:jc w:val="cente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导读</w:t>
            </w:r>
          </w:p>
        </w:tc>
        <w:tc>
          <w:tcPr>
            <w:tcW w:w="1812" w:type="dxa"/>
          </w:tcPr>
          <w:p>
            <w:pPr>
              <w:jc w:val="cente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初读</w:t>
            </w:r>
          </w:p>
        </w:tc>
        <w:tc>
          <w:tcPr>
            <w:tcW w:w="2112" w:type="dxa"/>
          </w:tcPr>
          <w:p>
            <w:pPr>
              <w:jc w:val="cente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研读</w:t>
            </w:r>
          </w:p>
        </w:tc>
        <w:tc>
          <w:tcPr>
            <w:tcW w:w="2112" w:type="dxa"/>
          </w:tcPr>
          <w:p>
            <w:pPr>
              <w:jc w:val="cente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分享展示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pP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用时计划</w:t>
            </w:r>
          </w:p>
        </w:tc>
        <w:tc>
          <w:tcPr>
            <w:tcW w:w="1260"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1课时</w:t>
            </w:r>
          </w:p>
        </w:tc>
        <w:tc>
          <w:tcPr>
            <w:tcW w:w="18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lang w:val="en-US" w:eastAsia="zh-CN"/>
                <w14:textFill>
                  <w14:solidFill>
                    <w14:schemeClr w14:val="tx1"/>
                  </w14:solidFill>
                </w14:textFill>
              </w:rPr>
              <w:t>10</w:t>
            </w:r>
            <w:r>
              <w:rPr>
                <w:rFonts w:hint="eastAsia" w:ascii="楷体" w:hAnsi="楷体" w:eastAsia="楷体"/>
                <w:color w:val="000000" w:themeColor="text1"/>
                <w:sz w:val="21"/>
                <w:szCs w:val="21"/>
                <w14:textFill>
                  <w14:solidFill>
                    <w14:schemeClr w14:val="tx1"/>
                  </w14:solidFill>
                </w14:textFill>
              </w:rPr>
              <w:t>周课下完成</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+1课时话剧展示</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2课时+课下完成小论文</w:t>
            </w:r>
          </w:p>
        </w:tc>
        <w:tc>
          <w:tcPr>
            <w:tcW w:w="2112" w:type="dxa"/>
          </w:tcPr>
          <w:p>
            <w:pPr>
              <w:jc w:val="center"/>
              <w:rPr>
                <w:rFonts w:hint="eastAsia" w:ascii="楷体" w:hAnsi="楷体" w:eastAsia="楷体"/>
                <w:color w:val="000000" w:themeColor="text1"/>
                <w:sz w:val="21"/>
                <w:szCs w:val="21"/>
                <w:lang w:eastAsia="zh-CN"/>
                <w14:textFill>
                  <w14:solidFill>
                    <w14:schemeClr w14:val="tx1"/>
                  </w14:solidFill>
                </w14:textFill>
              </w:rPr>
            </w:pPr>
            <w:r>
              <w:rPr>
                <w:rFonts w:hint="eastAsia" w:ascii="楷体" w:hAnsi="楷体" w:eastAsia="楷体"/>
                <w:color w:val="000000" w:themeColor="text1"/>
                <w:sz w:val="21"/>
                <w:szCs w:val="21"/>
                <w:lang w:val="en-US" w:eastAsia="zh-CN"/>
                <w14:textFill>
                  <w14:solidFill>
                    <w14:schemeClr w14:val="tx1"/>
                  </w14:solidFill>
                </w14:textFill>
              </w:rPr>
              <w:t>优秀作品展示</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研读成果集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pP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主要任务</w:t>
            </w:r>
          </w:p>
        </w:tc>
        <w:tc>
          <w:tcPr>
            <w:tcW w:w="1260"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激发兴趣</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制定计划</w:t>
            </w:r>
          </w:p>
        </w:tc>
        <w:tc>
          <w:tcPr>
            <w:tcW w:w="1812" w:type="dxa"/>
          </w:tcPr>
          <w:p>
            <w:pPr>
              <w:ind w:firstLine="210" w:firstLineChars="100"/>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阅读批注</w:t>
            </w:r>
          </w:p>
          <w:p>
            <w:pPr>
              <w:ind w:firstLine="210" w:firstLineChars="100"/>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梳理情节</w:t>
            </w:r>
          </w:p>
          <w:p>
            <w:pPr>
              <w:ind w:firstLine="210" w:firstLineChars="100"/>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感悟人物</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专题探究</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深化理解</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展示成果</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巩固、扩大成果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pP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方法策略</w:t>
            </w:r>
          </w:p>
        </w:tc>
        <w:tc>
          <w:tcPr>
            <w:tcW w:w="1260"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浏览</w:t>
            </w:r>
          </w:p>
          <w:p>
            <w:pPr>
              <w:jc w:val="center"/>
              <w:rPr>
                <w:rFonts w:ascii="楷体" w:hAnsi="楷体" w:eastAsia="楷体"/>
                <w:color w:val="000000" w:themeColor="text1"/>
                <w:sz w:val="21"/>
                <w:szCs w:val="21"/>
                <w14:textFill>
                  <w14:solidFill>
                    <w14:schemeClr w14:val="tx1"/>
                  </w14:solidFill>
                </w14:textFill>
              </w:rPr>
            </w:pPr>
          </w:p>
        </w:tc>
        <w:tc>
          <w:tcPr>
            <w:tcW w:w="18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泛读与精读</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圈点与批注</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任务驱动</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读写结合</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精读</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任务驱动</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合作探究</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小组合作</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任务驱动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pP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主要评价方式</w:t>
            </w:r>
          </w:p>
        </w:tc>
        <w:tc>
          <w:tcPr>
            <w:tcW w:w="1260" w:type="dxa"/>
          </w:tcPr>
          <w:p>
            <w:pPr>
              <w:jc w:val="center"/>
              <w:rPr>
                <w:rFonts w:ascii="楷体" w:hAnsi="楷体" w:eastAsia="楷体"/>
                <w:color w:val="000000" w:themeColor="text1"/>
                <w:sz w:val="21"/>
                <w:szCs w:val="21"/>
                <w14:textFill>
                  <w14:solidFill>
                    <w14:schemeClr w14:val="tx1"/>
                  </w14:solidFill>
                </w14:textFill>
              </w:rPr>
            </w:pPr>
          </w:p>
        </w:tc>
        <w:tc>
          <w:tcPr>
            <w:tcW w:w="1812" w:type="dxa"/>
          </w:tcPr>
          <w:p>
            <w:pPr>
              <w:ind w:firstLine="210" w:firstLineChars="100"/>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读书批注</w:t>
            </w:r>
          </w:p>
          <w:p>
            <w:pPr>
              <w:ind w:firstLine="210" w:firstLineChars="100"/>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思维导图</w:t>
            </w:r>
          </w:p>
          <w:p>
            <w:pPr>
              <w:ind w:firstLine="210" w:firstLineChars="100"/>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主题作品</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小组活动</w:t>
            </w:r>
          </w:p>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文章</w:t>
            </w:r>
          </w:p>
        </w:tc>
        <w:tc>
          <w:tcPr>
            <w:tcW w:w="2112" w:type="dxa"/>
          </w:tcPr>
          <w:p>
            <w:pPr>
              <w:jc w:val="center"/>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lang w:val="en-US" w:eastAsia="zh-CN"/>
                <w14:textFill>
                  <w14:solidFill>
                    <w14:schemeClr w14:val="tx1"/>
                  </w14:solidFill>
                </w14:textFill>
              </w:rPr>
              <w:t>作品</w:t>
            </w:r>
            <w:r>
              <w:rPr>
                <w:rFonts w:hint="eastAsia" w:ascii="楷体" w:hAnsi="楷体" w:eastAsia="楷体"/>
                <w:color w:val="000000" w:themeColor="text1"/>
                <w:sz w:val="21"/>
                <w:szCs w:val="21"/>
                <w14:textFill>
                  <w14:solidFill>
                    <w14:schemeClr w14:val="tx1"/>
                  </w14:solidFill>
                </w14:textFill>
              </w:rPr>
              <w:t>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3" w:type="dxa"/>
          </w:tcPr>
          <w:p>
            <w:pPr>
              <w:rPr>
                <w:rFonts w:asciiTheme="minorEastAsia" w:hAnsiTheme="minorEastAsia" w:cstheme="minorEastAsia"/>
                <w:color w:val="000000" w:themeColor="text1"/>
                <w:sz w:val="21"/>
                <w:szCs w:val="21"/>
                <w14:textFill>
                  <w14:solidFill>
                    <w14:schemeClr w14:val="tx1"/>
                  </w14:solidFill>
                </w14:textFill>
              </w:rPr>
            </w:pPr>
            <w:r>
              <w:rPr>
                <w:rFonts w:hint="eastAsia" w:asciiTheme="minorEastAsia" w:hAnsiTheme="minorEastAsia" w:cstheme="minorEastAsia"/>
                <w:color w:val="000000" w:themeColor="text1"/>
                <w:sz w:val="21"/>
                <w:szCs w:val="21"/>
                <w14:textFill>
                  <w14:solidFill>
                    <w14:schemeClr w14:val="tx1"/>
                  </w14:solidFill>
                </w14:textFill>
              </w:rPr>
              <w:t>主要监督策略</w:t>
            </w:r>
          </w:p>
        </w:tc>
        <w:tc>
          <w:tcPr>
            <w:tcW w:w="7296" w:type="dxa"/>
            <w:gridSpan w:val="4"/>
          </w:tcPr>
          <w:p>
            <w:pPr>
              <w:ind w:firstLine="630" w:firstLineChars="300"/>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1.</w:t>
            </w:r>
            <w:r>
              <w:rPr>
                <w:rFonts w:ascii="楷体" w:hAnsi="楷体" w:eastAsia="楷体"/>
                <w:color w:val="000000" w:themeColor="text1"/>
                <w:sz w:val="21"/>
                <w:szCs w:val="21"/>
                <w14:textFill>
                  <w14:solidFill>
                    <w14:schemeClr w14:val="tx1"/>
                  </w14:solidFill>
                </w14:textFill>
              </w:rPr>
              <w:t>每日</w:t>
            </w:r>
            <w:r>
              <w:rPr>
                <w:rFonts w:hint="eastAsia" w:ascii="楷体" w:hAnsi="楷体" w:eastAsia="楷体"/>
                <w:color w:val="000000" w:themeColor="text1"/>
                <w:sz w:val="21"/>
                <w:szCs w:val="21"/>
                <w14:textFill>
                  <w14:solidFill>
                    <w14:schemeClr w14:val="tx1"/>
                  </w14:solidFill>
                </w14:textFill>
              </w:rPr>
              <w:t xml:space="preserve">读书任务发布            </w:t>
            </w:r>
            <w:r>
              <w:rPr>
                <w:rFonts w:ascii="楷体" w:hAnsi="楷体" w:eastAsia="楷体"/>
                <w:color w:val="000000" w:themeColor="text1"/>
                <w:sz w:val="21"/>
                <w:szCs w:val="21"/>
                <w14:textFill>
                  <w14:solidFill>
                    <w14:schemeClr w14:val="tx1"/>
                  </w14:solidFill>
                </w14:textFill>
              </w:rPr>
              <w:t xml:space="preserve"> </w:t>
            </w:r>
            <w:r>
              <w:rPr>
                <w:rFonts w:hint="eastAsia" w:ascii="楷体" w:hAnsi="楷体" w:eastAsia="楷体"/>
                <w:color w:val="000000" w:themeColor="text1"/>
                <w:sz w:val="21"/>
                <w:szCs w:val="21"/>
                <w14:textFill>
                  <w14:solidFill>
                    <w14:schemeClr w14:val="tx1"/>
                  </w14:solidFill>
                </w14:textFill>
              </w:rPr>
              <w:t>2</w:t>
            </w:r>
            <w:r>
              <w:rPr>
                <w:rFonts w:ascii="楷体" w:hAnsi="楷体" w:eastAsia="楷体"/>
                <w:color w:val="000000" w:themeColor="text1"/>
                <w:sz w:val="21"/>
                <w:szCs w:val="21"/>
                <w14:textFill>
                  <w14:solidFill>
                    <w14:schemeClr w14:val="tx1"/>
                  </w14:solidFill>
                </w14:textFill>
              </w:rPr>
              <w:t>.每日</w:t>
            </w:r>
            <w:r>
              <w:rPr>
                <w:rFonts w:hint="eastAsia" w:ascii="楷体" w:hAnsi="楷体" w:eastAsia="楷体"/>
                <w:color w:val="000000" w:themeColor="text1"/>
                <w:sz w:val="21"/>
                <w:szCs w:val="21"/>
                <w14:textFill>
                  <w14:solidFill>
                    <w14:schemeClr w14:val="tx1"/>
                  </w14:solidFill>
                </w14:textFill>
              </w:rPr>
              <w:t xml:space="preserve">圈点批注检查    </w:t>
            </w:r>
            <w:r>
              <w:rPr>
                <w:rFonts w:ascii="楷体" w:hAnsi="楷体" w:eastAsia="楷体"/>
                <w:color w:val="000000" w:themeColor="text1"/>
                <w:sz w:val="21"/>
                <w:szCs w:val="21"/>
                <w14:textFill>
                  <w14:solidFill>
                    <w14:schemeClr w14:val="tx1"/>
                  </w14:solidFill>
                </w14:textFill>
              </w:rPr>
              <w:t xml:space="preserve"> </w:t>
            </w:r>
          </w:p>
          <w:p>
            <w:pPr>
              <w:ind w:firstLine="630" w:firstLineChars="300"/>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3</w:t>
            </w:r>
            <w:r>
              <w:rPr>
                <w:rFonts w:ascii="楷体" w:hAnsi="楷体" w:eastAsia="楷体"/>
                <w:color w:val="000000" w:themeColor="text1"/>
                <w:sz w:val="21"/>
                <w:szCs w:val="21"/>
                <w14:textFill>
                  <w14:solidFill>
                    <w14:schemeClr w14:val="tx1"/>
                  </w14:solidFill>
                </w14:textFill>
              </w:rPr>
              <w:t>.</w:t>
            </w:r>
            <w:r>
              <w:rPr>
                <w:rFonts w:hint="eastAsia" w:ascii="楷体" w:hAnsi="楷体" w:eastAsia="楷体"/>
                <w:color w:val="000000" w:themeColor="text1"/>
                <w:sz w:val="21"/>
                <w:szCs w:val="21"/>
                <w14:textFill>
                  <w14:solidFill>
                    <w14:schemeClr w14:val="tx1"/>
                  </w14:solidFill>
                </w14:textFill>
              </w:rPr>
              <w:t>每日课前小测                 4.阶段性思维导图整理</w:t>
            </w:r>
          </w:p>
          <w:p>
            <w:pPr>
              <w:ind w:firstLine="630" w:firstLineChars="300"/>
              <w:rPr>
                <w:rFonts w:ascii="楷体" w:hAnsi="楷体" w:eastAsia="楷体"/>
                <w:color w:val="000000" w:themeColor="text1"/>
                <w:sz w:val="21"/>
                <w:szCs w:val="21"/>
                <w14:textFill>
                  <w14:solidFill>
                    <w14:schemeClr w14:val="tx1"/>
                  </w14:solidFill>
                </w14:textFill>
              </w:rPr>
            </w:pPr>
            <w:r>
              <w:rPr>
                <w:rFonts w:hint="eastAsia" w:ascii="楷体" w:hAnsi="楷体" w:eastAsia="楷体"/>
                <w:color w:val="000000" w:themeColor="text1"/>
                <w:sz w:val="21"/>
                <w:szCs w:val="21"/>
                <w14:textFill>
                  <w14:solidFill>
                    <w14:schemeClr w14:val="tx1"/>
                  </w14:solidFill>
                </w14:textFill>
              </w:rPr>
              <w:t>5</w:t>
            </w:r>
            <w:r>
              <w:rPr>
                <w:rFonts w:ascii="楷体" w:hAnsi="楷体" w:eastAsia="楷体"/>
                <w:color w:val="000000" w:themeColor="text1"/>
                <w:sz w:val="21"/>
                <w:szCs w:val="21"/>
                <w14:textFill>
                  <w14:solidFill>
                    <w14:schemeClr w14:val="tx1"/>
                  </w14:solidFill>
                </w14:textFill>
              </w:rPr>
              <w:t>.</w:t>
            </w:r>
            <w:r>
              <w:rPr>
                <w:rFonts w:hint="eastAsia" w:ascii="楷体" w:hAnsi="楷体" w:eastAsia="楷体"/>
                <w:color w:val="000000" w:themeColor="text1"/>
                <w:sz w:val="21"/>
                <w:szCs w:val="21"/>
                <w14:textFill>
                  <w14:solidFill>
                    <w14:schemeClr w14:val="tx1"/>
                  </w14:solidFill>
                </w14:textFill>
              </w:rPr>
              <w:t xml:space="preserve">主题作品收集整理          </w:t>
            </w:r>
            <w:r>
              <w:rPr>
                <w:rFonts w:ascii="楷体" w:hAnsi="楷体" w:eastAsia="楷体"/>
                <w:color w:val="000000" w:themeColor="text1"/>
                <w:sz w:val="21"/>
                <w:szCs w:val="21"/>
                <w14:textFill>
                  <w14:solidFill>
                    <w14:schemeClr w14:val="tx1"/>
                  </w14:solidFill>
                </w14:textFill>
              </w:rPr>
              <w:t xml:space="preserve"> </w:t>
            </w:r>
            <w:r>
              <w:rPr>
                <w:rFonts w:hint="eastAsia" w:ascii="楷体" w:hAnsi="楷体" w:eastAsia="楷体"/>
                <w:color w:val="000000" w:themeColor="text1"/>
                <w:sz w:val="21"/>
                <w:szCs w:val="21"/>
                <w14:textFill>
                  <w14:solidFill>
                    <w14:schemeClr w14:val="tx1"/>
                  </w14:solidFill>
                </w14:textFill>
              </w:rPr>
              <w:t xml:space="preserve">  6.研读成果汇报展示</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RiNmU4NTEzYWM5NmQxOGQ1ZmY2NTI3ZjVlZjI4ZGYifQ=="/>
  </w:docVars>
  <w:rsids>
    <w:rsidRoot w:val="3FEE7DA2"/>
    <w:rsid w:val="3FEE7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basedOn w:val="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2022-07-06T09:44:00Z</dcterms:created>
  <dc:creator>dangan</dc:creator>
  <cp:lastModifiedBy>dangan</cp:lastModifiedBy>
  <dcterms:modified xsi:type="dcterms:W3CDTF">2022-07-06T09:45:53Z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8DD0A2DC59CA4C22B247B9272E37938A</vt:lpwstr>
  </property>
</Properties>
</file>