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2" w:firstLineChars="200"/>
        <w:jc w:val="center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评张邵平老师的《数列》复习课</w:t>
      </w:r>
    </w:p>
    <w:p>
      <w:pPr>
        <w:spacing w:line="360" w:lineRule="auto"/>
        <w:ind w:firstLine="420"/>
      </w:pPr>
      <w:r>
        <w:rPr>
          <w:rFonts w:hint="eastAsia"/>
        </w:rPr>
        <w:t>基于教师对学生认知的了解，明确了高三的复习课必须规避“油水分离”式的复习模式，针对怎样才能做到有针对性的复习，</w:t>
      </w:r>
      <w:r>
        <w:rPr>
          <w:rFonts w:hint="eastAsia"/>
          <w:lang w:val="en-US" w:eastAsia="zh-CN"/>
        </w:rPr>
        <w:t>张</w:t>
      </w:r>
      <w:r>
        <w:rPr>
          <w:rFonts w:hint="eastAsia"/>
        </w:rPr>
        <w:t>老师的这节课给了我们很好的启发。为了了解学生的情况，</w:t>
      </w:r>
      <w:r>
        <w:rPr>
          <w:rFonts w:hint="eastAsia"/>
          <w:lang w:val="en-US" w:eastAsia="zh-CN"/>
        </w:rPr>
        <w:t>张</w:t>
      </w:r>
      <w:r>
        <w:rPr>
          <w:rFonts w:hint="eastAsia"/>
        </w:rPr>
        <w:t>老师在本单元复习之前做了章前测，在复习完等差数列后又做了相关的学生调查问卷。这种新的教学形式正是基于教师对学生的学情分析，有调查问卷提炼出的学生学习难点，有通过课堂前测统计出的解答的正答统计数据和解题过程反馈，教师正是据此确定了本节课的定位并设计了课堂上相关的学生活动。</w:t>
      </w:r>
    </w:p>
    <w:p>
      <w:pPr>
        <w:spacing w:line="360" w:lineRule="auto"/>
        <w:ind w:firstLine="420"/>
      </w:pPr>
      <w:r>
        <w:rPr>
          <w:rFonts w:hint="eastAsia"/>
        </w:rPr>
        <w:t>正是基于教师对学生的学情分析，有调查问卷提炼出的学生学习难点的聚焦，有通过课堂前测统计出的解答的正答统计数据和解题过程反馈，教师据此确定了本节课的定位并制定了相关的教学目标和重、难点。使本节课有了很强的指向性。</w:t>
      </w:r>
    </w:p>
    <w:p>
      <w:pPr>
        <w:spacing w:line="360" w:lineRule="auto"/>
        <w:ind w:firstLine="420"/>
      </w:pPr>
      <w:bookmarkStart w:id="0" w:name="_GoBack"/>
      <w:bookmarkEnd w:id="0"/>
      <w:r>
        <w:rPr>
          <w:rFonts w:hint="eastAsia"/>
          <w:lang w:val="en-US" w:eastAsia="zh-CN"/>
        </w:rPr>
        <w:t>张</w:t>
      </w:r>
      <w:r>
        <w:rPr>
          <w:rFonts w:hint="eastAsia"/>
        </w:rPr>
        <w:t>老师这节课真正做到了把课堂还给学生，在学生的自主评价和相互评价中，对知识建构和多角度解读条件的必要性有了感性认识，并且可以比较灵活地应用。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1A62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2022-07-08T06:44:50Z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F5A9D57FF52D49C39978F34DB757BBD9</vt:lpwstr>
  </property>
</Properties>
</file>