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ind w:left="0" w:right="0" w:firstLine="420"/>
        <w:jc w:val="center"/>
        <w:rPr>
          <w:rFonts w:hint="eastAsia" w:ascii="宋体" w:hAnsi="宋体" w:eastAsia="宋体" w:cs="宋体"/>
          <w:b/>
          <w:bCs/>
          <w:i w:val="0"/>
          <w:caps w:val="0"/>
          <w:color w:val="000000"/>
          <w:spacing w:val="0"/>
          <w:sz w:val="32"/>
          <w:szCs w:val="32"/>
          <w:bdr w:val="none" w:color="auto" w:sz="0" w:space="0"/>
          <w:lang w:val="en-US" w:eastAsia="zh-CN"/>
        </w:rPr>
      </w:pPr>
      <w:r>
        <w:rPr>
          <w:rFonts w:hint="eastAsia" w:ascii="宋体" w:hAnsi="宋体" w:eastAsia="宋体" w:cs="宋体"/>
          <w:b/>
          <w:bCs/>
          <w:i w:val="0"/>
          <w:caps w:val="0"/>
          <w:color w:val="000000"/>
          <w:spacing w:val="0"/>
          <w:sz w:val="32"/>
          <w:szCs w:val="32"/>
          <w:bdr w:val="none" w:color="auto" w:sz="0" w:space="0"/>
          <w:lang w:eastAsia="zh-CN"/>
        </w:rPr>
        <w:t>《</w:t>
      </w:r>
      <w:r>
        <w:rPr>
          <w:rFonts w:hint="eastAsia" w:ascii="宋体" w:hAnsi="宋体" w:eastAsia="宋体" w:cs="宋体"/>
          <w:b/>
          <w:bCs/>
          <w:i w:val="0"/>
          <w:caps w:val="0"/>
          <w:color w:val="000000"/>
          <w:spacing w:val="0"/>
          <w:sz w:val="32"/>
          <w:szCs w:val="32"/>
          <w:bdr w:val="none" w:color="auto" w:sz="0" w:space="0"/>
          <w:lang w:val="en-US" w:eastAsia="zh-CN"/>
        </w:rPr>
        <w:t>乡土中国</w:t>
      </w:r>
      <w:r>
        <w:rPr>
          <w:rFonts w:hint="eastAsia" w:ascii="宋体" w:hAnsi="宋体" w:eastAsia="宋体" w:cs="宋体"/>
          <w:b/>
          <w:bCs/>
          <w:i w:val="0"/>
          <w:caps w:val="0"/>
          <w:color w:val="000000"/>
          <w:spacing w:val="0"/>
          <w:sz w:val="32"/>
          <w:szCs w:val="32"/>
          <w:bdr w:val="none" w:color="auto" w:sz="0" w:space="0"/>
          <w:lang w:eastAsia="zh-CN"/>
        </w:rPr>
        <w:t>》</w:t>
      </w:r>
      <w:r>
        <w:rPr>
          <w:rFonts w:hint="eastAsia" w:ascii="宋体" w:hAnsi="宋体" w:eastAsia="宋体" w:cs="宋体"/>
          <w:b/>
          <w:bCs/>
          <w:i w:val="0"/>
          <w:caps w:val="0"/>
          <w:color w:val="000000"/>
          <w:spacing w:val="0"/>
          <w:sz w:val="32"/>
          <w:szCs w:val="32"/>
          <w:bdr w:val="none" w:color="auto" w:sz="0" w:space="0"/>
          <w:lang w:val="en-US" w:eastAsia="zh-CN"/>
        </w:rPr>
        <w:t>读后感</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网上有人评论费孝通先生的《乡土中国》时说到：“这本书虽然是社会学入门级读物，却有着深厚的理论素养作为支撑;通俗易懂的语言，加上乡土浓浓的气息，没有了让人忘而却步的拗口难懂的理论术语，读后确有万条万缕了然在胸的豁然开朗感。”这段评价使我萌生了对《乡土中国》的兴趣，读毕，感触良多。</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它包括乡土本色、文字下乡、再论文字下乡、差序格局、维系着私人的道德、家庭、男女有别、礼治秩序、无讼、无为政治、长老统治、地缘与血缘、名师的分离、从欲望到需要等方面展开叙述，生动地描绘出乡土中国的基本概况。</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乡土中国》开篇第一句“从基层上看去，中国社会是乡土性的。”正如费老先生所说的，中国的基层社会的确具有浓浓的乡土味。这里的“乡土味”并不是都市人眼中给乡下人冠上“没认识多少字、听到汽车喇叭鸣不知道往左还是往右的”的愚昧，而且经过实践证明，乡下人的学习能力并不比都市人差，只是对于知识和城市生活规律的需要没有都市人强烈。我们都知道，传统的中国社会是建立在能够自给自足的小农经济基础上的，传统中国社会的封闭性和保守性制约了中国人民尤其是基层人民思维方式、思想文化的发展。再加上乡土社会是一个社会变迁速度十分缓慢的社会，人民已经习惯了乡土社会里安稳的生活，以致于不能适应其他快速变迁型的社会，这个才是“乡土社会”之所以“乡土”的原因。</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费老认为“如果中国社会乡土性的基层发生了变化，也只有发生了变化之后，文字才能下乡。”语言和文字都是表情达意的一种工具，但是这并不是唯一的工具，在乡土社会里，人们有属于自己的语言和交流方式，有时候大可以不必使用文字，表情、动作、声音都是人们独特的交流方式。除非乡土社会的本质改变，要不然，文字下乡进程将会相当缓慢。</w:t>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在社会结构上，《乡土中国》深入浅出地把社会分为西方社会的“团体格局”和中国传统社会的“差序格局”。团体格局指的是个人间的联系靠着一个共同的架子，先有这个架子，而互相发生关联；而差序格局则是一个一根根私人联系所构成的网络，费老还作了一个有趣的比喻，以己为中心，像石子一般投入水中，和别人所联系成的社会关系，不像团体中的分子一般大家都在水面上的，而是像水的波纹一样，一圈圈推出去，越推越远，越推越薄，而所谓伦，也就是从自己推出去的和自己发生社会关系的那一群人里多发生的一轮轮波纹的差序。当代中国社会又何尝不是乡土中国中的“差序格局”，在办事的时候，人们总是先找关系。正是这种社会关系的性质导致了许多“走后门”的现象，在官场上也导致了很多的贪腐的现象。这一个比喻浅显而又深刻。</w:t>
      </w:r>
    </w:p>
    <w:p>
      <w:pPr>
        <w:ind w:firstLine="560"/>
        <w:rPr>
          <w:rFonts w:hint="eastAsia" w:ascii="宋体" w:hAnsi="宋体" w:eastAsia="宋体" w:cs="宋体"/>
          <w:sz w:val="28"/>
          <w:szCs w:val="28"/>
          <w:lang w:val="en-US" w:eastAsia="zh-CN"/>
        </w:rPr>
      </w:pPr>
      <w:bookmarkStart w:id="0" w:name="_GoBack"/>
      <w:bookmarkEnd w:id="0"/>
      <w:r>
        <w:rPr>
          <w:rFonts w:hint="eastAsia" w:ascii="宋体" w:hAnsi="宋体" w:eastAsia="宋体" w:cs="宋体"/>
          <w:sz w:val="28"/>
          <w:szCs w:val="28"/>
          <w:lang w:val="en-US" w:eastAsia="zh-CN"/>
        </w:rPr>
        <w:t>当代社会所强调的德治依旧是源于乡土社会的“礼治秩序”，“维系着私人的道德”需要靠个人的内在克制来遵守，于是很多应该遵守的规则便成了“礼”，“礼是公认合适的行为规范。”当代社会应该是一个法治社会，但是“礼治”依然存在。在农村，遇到矛盾的时候都是请一些长者或权威人士来评评理，实在调解不了才选择诉诸于法律手段。久而久之，也就形成了“无讼”的社会。</w:t>
      </w:r>
    </w:p>
    <w:p>
      <w:pPr>
        <w:ind w:firstLine="560" w:firstLineChars="200"/>
        <w:rPr>
          <w:rFonts w:hint="eastAsia" w:ascii="宋体" w:hAnsi="宋体" w:eastAsia="宋体" w:cs="宋体"/>
          <w:sz w:val="28"/>
          <w:szCs w:val="28"/>
          <w:lang w:val="en-US" w:eastAsia="zh-CN"/>
        </w:rPr>
      </w:pPr>
    </w:p>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A339E"/>
    <w:rsid w:val="014B2026"/>
    <w:rsid w:val="027B2354"/>
    <w:rsid w:val="058F24FC"/>
    <w:rsid w:val="0683446F"/>
    <w:rsid w:val="1D0A13F6"/>
    <w:rsid w:val="237A7518"/>
    <w:rsid w:val="265F41A6"/>
    <w:rsid w:val="2D6A339E"/>
    <w:rsid w:val="37080072"/>
    <w:rsid w:val="37136945"/>
    <w:rsid w:val="385F60B1"/>
    <w:rsid w:val="3A8B2797"/>
    <w:rsid w:val="3FB2372C"/>
    <w:rsid w:val="42290201"/>
    <w:rsid w:val="4D1C6435"/>
    <w:rsid w:val="5E005073"/>
    <w:rsid w:val="5E5233EB"/>
    <w:rsid w:val="5E6225D4"/>
    <w:rsid w:val="62076F3E"/>
    <w:rsid w:val="6D093D9B"/>
    <w:rsid w:val="6F7103AB"/>
    <w:rsid w:val="71E70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45</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2021-10-26T14:17:00Z</dcterms:created>
  <dc:creator>lty</dc:creator>
  <cp:lastModifiedBy>lty</cp:lastModifiedBy>
  <dcterms:modified xsi:type="dcterms:W3CDTF">2022-01-12T06:56:12Z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