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3584" w:firstLineChars="1700"/>
        <w:jc w:val="both"/>
        <w:rPr>
          <w:rFonts w:hint="eastAsia" w:ascii="宋体" w:hAnsi="宋体" w:eastAsia="宋体" w:cs="宋体"/>
          <w:b/>
          <w:sz w:val="21"/>
          <w:szCs w:val="21"/>
        </w:rPr>
      </w:pPr>
      <w:r>
        <w:rPr>
          <w:rFonts w:hint="eastAsia" w:ascii="宋体" w:hAnsi="宋体" w:eastAsia="宋体" w:cs="宋体"/>
          <w:b/>
          <w:sz w:val="21"/>
          <w:szCs w:val="21"/>
        </w:rPr>
        <w:drawing>
          <wp:anchor distT="0" distB="0" distL="114300" distR="114300" simplePos="0" relativeHeight="251659264" behindDoc="0" locked="0" layoutInCell="1" allowOverlap="1">
            <wp:simplePos x="0" y="0"/>
            <wp:positionH relativeFrom="page">
              <wp:posOffset>11798300</wp:posOffset>
            </wp:positionH>
            <wp:positionV relativeFrom="topMargin">
              <wp:posOffset>12344400</wp:posOffset>
            </wp:positionV>
            <wp:extent cx="419100" cy="381000"/>
            <wp:effectExtent l="0" t="0" r="0" b="0"/>
            <wp:wrapNone/>
            <wp:docPr id="100022" name="图片 10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2" name="图片 100022"/>
                    <pic:cNvPicPr>
                      <a:picLocks noChangeAspect="1"/>
                    </pic:cNvPicPr>
                  </pic:nvPicPr>
                  <pic:blipFill>
                    <a:blip r:embed="rId4"/>
                    <a:stretch>
                      <a:fillRect/>
                    </a:stretch>
                  </pic:blipFill>
                  <pic:spPr>
                    <a:xfrm>
                      <a:off x="0" y="0"/>
                      <a:ext cx="419100" cy="381000"/>
                    </a:xfrm>
                    <a:prstGeom prst="rect">
                      <a:avLst/>
                    </a:prstGeom>
                  </pic:spPr>
                </pic:pic>
              </a:graphicData>
            </a:graphic>
          </wp:anchor>
        </w:drawing>
      </w:r>
      <w:r>
        <w:rPr>
          <w:rFonts w:hint="eastAsia" w:ascii="宋体" w:hAnsi="宋体" w:eastAsia="宋体" w:cs="宋体"/>
          <w:b/>
          <w:sz w:val="21"/>
          <w:szCs w:val="21"/>
        </w:rPr>
        <w:t>2023届广东省高三四校联考</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生物</w:t>
      </w:r>
    </w:p>
    <w:p>
      <w:pPr>
        <w:spacing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本试卷共5页，21小题，满分100分。考试用时75分钟。</w:t>
      </w:r>
    </w:p>
    <w:p>
      <w:pPr>
        <w:spacing w:line="360" w:lineRule="auto"/>
        <w:rPr>
          <w:rFonts w:hint="eastAsia" w:ascii="宋体" w:hAnsi="宋体" w:eastAsia="宋体" w:cs="宋体"/>
          <w:b/>
          <w:color w:val="000000"/>
          <w:sz w:val="21"/>
          <w:szCs w:val="21"/>
        </w:rPr>
      </w:pPr>
      <w:r>
        <w:rPr>
          <w:rFonts w:hint="eastAsia" w:ascii="宋体" w:hAnsi="宋体" w:eastAsia="宋体" w:cs="宋体"/>
          <w:sz w:val="21"/>
          <w:szCs w:val="21"/>
        </w:rPr>
        <w:drawing>
          <wp:anchor distT="0" distB="0" distL="114300" distR="114300" simplePos="0" relativeHeight="251660288" behindDoc="0" locked="0" layoutInCell="1" allowOverlap="1">
            <wp:simplePos x="0" y="0"/>
            <wp:positionH relativeFrom="column">
              <wp:posOffset>4432300</wp:posOffset>
            </wp:positionH>
            <wp:positionV relativeFrom="paragraph">
              <wp:posOffset>452120</wp:posOffset>
            </wp:positionV>
            <wp:extent cx="1667510" cy="1304925"/>
            <wp:effectExtent l="0" t="0" r="8890" b="9525"/>
            <wp:wrapNone/>
            <wp:docPr id="1" name="图片 2" descr="HWOCRTEMP_RO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HWOCRTEMP_ROC00"/>
                    <pic:cNvPicPr>
                      <a:picLocks noChangeAspect="1"/>
                    </pic:cNvPicPr>
                  </pic:nvPicPr>
                  <pic:blipFill>
                    <a:blip r:embed="rId5"/>
                    <a:stretch>
                      <a:fillRect/>
                    </a:stretch>
                  </pic:blipFill>
                  <pic:spPr>
                    <a:xfrm>
                      <a:off x="0" y="0"/>
                      <a:ext cx="1667510" cy="1304925"/>
                    </a:xfrm>
                    <a:prstGeom prst="rect">
                      <a:avLst/>
                    </a:prstGeom>
                    <a:noFill/>
                    <a:ln>
                      <a:noFill/>
                    </a:ln>
                  </pic:spPr>
                </pic:pic>
              </a:graphicData>
            </a:graphic>
          </wp:anchor>
        </w:drawing>
      </w:r>
      <w:r>
        <w:rPr>
          <w:rFonts w:hint="eastAsia" w:ascii="宋体" w:hAnsi="宋体" w:eastAsia="宋体" w:cs="宋体"/>
          <w:b/>
          <w:color w:val="000000"/>
          <w:sz w:val="21"/>
          <w:szCs w:val="21"/>
        </w:rPr>
        <w:t>一、选择题（本题共16小题，共40分。第1题至第12小题，每小题2分；第13题至第16小题，每小题4分。每小题只有一个选项符合题目要求）</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1．</w:t>
      </w:r>
      <w:r>
        <w:rPr>
          <w:rFonts w:hint="eastAsia" w:ascii="宋体" w:hAnsi="宋体" w:eastAsia="宋体" w:cs="宋体"/>
          <w:color w:val="000000"/>
          <w:sz w:val="21"/>
          <w:szCs w:val="21"/>
        </w:rPr>
        <w:t>眼虫是淡水生物，春夏季节常在有机质较多的污水内大量繁殖，</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使水质变成绿色，可作为有机物污染环境的生物指标。</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右边是眼虫的结构图，下列关于眼虫的相关叙述正确的是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A．有叶绿体，能进行光合作用，所以它属于植物细胞</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B．DNA是主要的遗传物质，遗传物质的水解产物是脱氧核苷酸</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C．核仁与核糖体的形成有关，通常核仁越大生命活动越旺盛</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D．是单细胞生物，但细胞内有多种酶，可以调节各项生命活动</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2．</w:t>
      </w:r>
      <w:r>
        <w:rPr>
          <w:rFonts w:hint="eastAsia" w:ascii="宋体" w:hAnsi="宋体" w:eastAsia="宋体" w:cs="宋体"/>
          <w:color w:val="000000"/>
          <w:sz w:val="21"/>
          <w:szCs w:val="21"/>
        </w:rPr>
        <w:t>新冠病毒(RNA病毒)引发的新冠疫情尚未消散，猴痘（猴痘病毒是DNA病毒）又在数十个国家蔓延。</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下列关于两种病毒的叙述错误的是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A．遗传物质在复制时均遵循碱基互补配对原则</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B．均可利用宿主细胞的核糖体合成自身的蛋白质</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C．某些蛋白质均可作为抗原引起机体免疫反应</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D．基因的遗传均遵循分离定律和自由组合定律</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3．</w:t>
      </w:r>
      <w:r>
        <w:rPr>
          <w:rFonts w:hint="eastAsia" w:ascii="宋体" w:hAnsi="宋体" w:eastAsia="宋体" w:cs="宋体"/>
          <w:color w:val="000000"/>
          <w:sz w:val="21"/>
          <w:szCs w:val="21"/>
        </w:rPr>
        <w:t>酵母菌在合成分泌蛋白的过程中会受到S基因的调控，若S基因发生突变，分泌蛋白最终会积累在高尔基体中。</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与S基因突变前相比，S基因突变后会出现</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A．在内质网检测不到分泌蛋白    </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B．在细胞外检测不到分泌蛋白</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C．分泌蛋白的运输不需要囊泡协助    </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D．</w:t>
      </w:r>
      <w:r>
        <w:rPr>
          <w:rFonts w:hint="eastAsia" w:ascii="宋体" w:hAnsi="宋体" w:cs="宋体"/>
          <w:color w:val="000000"/>
          <w:sz w:val="21"/>
          <w:szCs w:val="21"/>
          <w:lang w:eastAsia="zh-CN"/>
        </w:rPr>
        <w:t>酵母菌</w:t>
      </w:r>
      <w:r>
        <w:rPr>
          <w:rFonts w:hint="eastAsia" w:ascii="宋体" w:hAnsi="宋体" w:eastAsia="宋体" w:cs="宋体"/>
          <w:color w:val="000000"/>
          <w:sz w:val="21"/>
          <w:szCs w:val="21"/>
        </w:rPr>
        <w:t>合成分泌蛋白的能量主要来自</w:t>
      </w:r>
      <w:r>
        <w:rPr>
          <w:rFonts w:hint="eastAsia" w:ascii="宋体" w:hAnsi="宋体" w:cs="宋体"/>
          <w:color w:val="000000"/>
          <w:sz w:val="21"/>
          <w:szCs w:val="21"/>
          <w:lang w:eastAsia="zh-CN"/>
        </w:rPr>
        <w:t>无氧呼吸</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4．</w:t>
      </w:r>
      <w:r>
        <w:rPr>
          <w:rFonts w:hint="eastAsia" w:ascii="宋体" w:hAnsi="宋体" w:eastAsia="宋体" w:cs="宋体"/>
          <w:color w:val="000000"/>
          <w:sz w:val="21"/>
          <w:szCs w:val="21"/>
        </w:rPr>
        <w:t>《黄帝内经</w:t>
      </w:r>
      <w:r>
        <w:rPr>
          <w:rFonts w:hint="eastAsia" w:ascii="宋体" w:hAnsi="宋体" w:eastAsia="宋体" w:cs="宋体"/>
          <w:color w:val="000000"/>
          <w:sz w:val="21"/>
          <w:szCs w:val="21"/>
        </w:rPr>
        <w:t>·</w:t>
      </w:r>
      <w:r>
        <w:rPr>
          <w:rFonts w:hint="eastAsia" w:ascii="宋体" w:hAnsi="宋体" w:eastAsia="宋体" w:cs="宋体"/>
          <w:color w:val="000000"/>
          <w:sz w:val="21"/>
          <w:szCs w:val="21"/>
        </w:rPr>
        <w:t>灵枢</w:t>
      </w:r>
      <w:r>
        <w:rPr>
          <w:rFonts w:hint="eastAsia" w:ascii="宋体" w:hAnsi="宋体" w:eastAsia="宋体" w:cs="宋体"/>
          <w:color w:val="000000"/>
          <w:sz w:val="21"/>
          <w:szCs w:val="21"/>
        </w:rPr>
        <w:t>·</w:t>
      </w:r>
      <w:r>
        <w:rPr>
          <w:rFonts w:hint="eastAsia" w:ascii="宋体" w:hAnsi="宋体" w:eastAsia="宋体" w:cs="宋体"/>
          <w:color w:val="000000"/>
          <w:sz w:val="21"/>
          <w:szCs w:val="21"/>
        </w:rPr>
        <w:t>五味》日</w:t>
      </w:r>
      <w:r>
        <w:rPr>
          <w:rFonts w:hint="eastAsia" w:ascii="宋体" w:hAnsi="宋体" w:eastAsia="宋体" w:cs="宋体"/>
          <w:color w:val="000000"/>
          <w:sz w:val="21"/>
          <w:szCs w:val="21"/>
        </w:rPr>
        <w:t>“</w:t>
      </w:r>
      <w:r>
        <w:rPr>
          <w:rFonts w:hint="eastAsia" w:ascii="宋体" w:hAnsi="宋体" w:eastAsia="宋体" w:cs="宋体"/>
          <w:color w:val="000000"/>
          <w:sz w:val="21"/>
          <w:szCs w:val="21"/>
        </w:rPr>
        <w:t>谷不入，半日则气衰，一日则气少矣</w:t>
      </w:r>
      <w:r>
        <w:rPr>
          <w:rFonts w:hint="eastAsia" w:ascii="宋体" w:hAnsi="宋体" w:eastAsia="宋体" w:cs="宋体"/>
          <w:color w:val="000000"/>
          <w:sz w:val="21"/>
          <w:szCs w:val="21"/>
        </w:rPr>
        <w:t>”</w:t>
      </w:r>
      <w:r>
        <w:rPr>
          <w:rFonts w:hint="eastAsia" w:ascii="宋体" w:hAnsi="宋体" w:eastAsia="宋体" w:cs="宋体"/>
          <w:color w:val="000000"/>
          <w:sz w:val="21"/>
          <w:szCs w:val="21"/>
        </w:rPr>
        <w:t>，中医理论认为，</w:t>
      </w:r>
      <w:r>
        <w:rPr>
          <w:rFonts w:hint="eastAsia" w:ascii="宋体" w:hAnsi="宋体" w:eastAsia="宋体" w:cs="宋体"/>
          <w:color w:val="000000"/>
          <w:sz w:val="21"/>
          <w:szCs w:val="21"/>
        </w:rPr>
        <w:t>“</w:t>
      </w:r>
      <w:r>
        <w:rPr>
          <w:rFonts w:hint="eastAsia" w:ascii="宋体" w:hAnsi="宋体" w:eastAsia="宋体" w:cs="宋体"/>
          <w:color w:val="000000"/>
          <w:sz w:val="21"/>
          <w:szCs w:val="21"/>
        </w:rPr>
        <w:t>气</w:t>
      </w:r>
      <w:r>
        <w:rPr>
          <w:rFonts w:hint="eastAsia" w:ascii="宋体" w:hAnsi="宋体" w:eastAsia="宋体" w:cs="宋体"/>
          <w:color w:val="000000"/>
          <w:sz w:val="21"/>
          <w:szCs w:val="21"/>
        </w:rPr>
        <w:t>”</w:t>
      </w:r>
      <w:r>
        <w:rPr>
          <w:rFonts w:hint="eastAsia" w:ascii="宋体" w:hAnsi="宋体" w:eastAsia="宋体" w:cs="宋体"/>
          <w:color w:val="000000"/>
          <w:sz w:val="21"/>
          <w:szCs w:val="21"/>
        </w:rPr>
        <w:t>的实质是人体活动</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时提供的能量。从中医角度看，</w:t>
      </w:r>
      <w:r>
        <w:rPr>
          <w:rFonts w:hint="eastAsia" w:ascii="宋体" w:hAnsi="宋体" w:eastAsia="宋体" w:cs="宋体"/>
          <w:color w:val="000000"/>
          <w:sz w:val="21"/>
          <w:szCs w:val="21"/>
        </w:rPr>
        <w:t>“</w:t>
      </w:r>
      <w:r>
        <w:rPr>
          <w:rFonts w:hint="eastAsia" w:ascii="宋体" w:hAnsi="宋体" w:eastAsia="宋体" w:cs="宋体"/>
          <w:color w:val="000000"/>
          <w:sz w:val="21"/>
          <w:szCs w:val="21"/>
        </w:rPr>
        <w:t>气衰</w:t>
      </w:r>
      <w:r>
        <w:rPr>
          <w:rFonts w:hint="eastAsia" w:ascii="宋体" w:hAnsi="宋体" w:eastAsia="宋体" w:cs="宋体"/>
          <w:color w:val="000000"/>
          <w:sz w:val="21"/>
          <w:szCs w:val="21"/>
        </w:rPr>
        <w:t>”</w:t>
      </w:r>
      <w:r>
        <w:rPr>
          <w:rFonts w:hint="eastAsia" w:ascii="宋体" w:hAnsi="宋体" w:eastAsia="宋体" w:cs="宋体"/>
          <w:color w:val="000000"/>
          <w:sz w:val="21"/>
          <w:szCs w:val="21"/>
        </w:rPr>
        <w:t>相当于西医中的</w:t>
      </w:r>
      <w:r>
        <w:rPr>
          <w:rFonts w:hint="eastAsia" w:ascii="宋体" w:hAnsi="宋体" w:eastAsia="宋体" w:cs="宋体"/>
          <w:color w:val="000000"/>
          <w:sz w:val="21"/>
          <w:szCs w:val="21"/>
        </w:rPr>
        <w:t>“</w:t>
      </w:r>
      <w:r>
        <w:rPr>
          <w:rFonts w:hint="eastAsia" w:ascii="宋体" w:hAnsi="宋体" w:eastAsia="宋体" w:cs="宋体"/>
          <w:color w:val="000000"/>
          <w:sz w:val="21"/>
          <w:szCs w:val="21"/>
        </w:rPr>
        <w:t>低血糖症状</w:t>
      </w:r>
      <w:r>
        <w:rPr>
          <w:rFonts w:hint="eastAsia" w:ascii="宋体" w:hAnsi="宋体" w:eastAsia="宋体" w:cs="宋体"/>
          <w:color w:val="000000"/>
          <w:sz w:val="21"/>
          <w:szCs w:val="21"/>
        </w:rPr>
        <w:t>”</w:t>
      </w:r>
      <w:r>
        <w:rPr>
          <w:rFonts w:hint="eastAsia" w:ascii="宋体" w:hAnsi="宋体" w:eastAsia="宋体" w:cs="宋体"/>
          <w:color w:val="000000"/>
          <w:sz w:val="21"/>
          <w:szCs w:val="21"/>
        </w:rPr>
        <w:t>。下列说法错误的是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w:t>
      </w:r>
      <w:r>
        <w:rPr>
          <w:rFonts w:hint="eastAsia" w:ascii="宋体" w:hAnsi="宋体" w:eastAsia="宋体" w:cs="宋体"/>
          <w:color w:val="000000"/>
          <w:sz w:val="21"/>
          <w:szCs w:val="21"/>
        </w:rPr>
        <w:t>“</w:t>
      </w:r>
      <w:r>
        <w:rPr>
          <w:rFonts w:hint="eastAsia" w:ascii="宋体" w:hAnsi="宋体" w:eastAsia="宋体" w:cs="宋体"/>
          <w:color w:val="000000"/>
          <w:sz w:val="21"/>
          <w:szCs w:val="21"/>
        </w:rPr>
        <w:t>谷</w:t>
      </w:r>
      <w:r>
        <w:rPr>
          <w:rFonts w:hint="eastAsia" w:ascii="宋体" w:hAnsi="宋体" w:eastAsia="宋体" w:cs="宋体"/>
          <w:color w:val="000000"/>
          <w:sz w:val="21"/>
          <w:szCs w:val="21"/>
        </w:rPr>
        <w:t>”</w:t>
      </w:r>
      <w:r>
        <w:rPr>
          <w:rFonts w:hint="eastAsia" w:ascii="宋体" w:hAnsi="宋体" w:eastAsia="宋体" w:cs="宋体"/>
          <w:color w:val="000000"/>
          <w:sz w:val="21"/>
          <w:szCs w:val="21"/>
        </w:rPr>
        <w:t>中储存能量的物质主要是糖类</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B．人体中的</w:t>
      </w:r>
      <w:r>
        <w:rPr>
          <w:rFonts w:hint="eastAsia" w:ascii="宋体" w:hAnsi="宋体" w:eastAsia="宋体" w:cs="宋体"/>
          <w:color w:val="000000"/>
          <w:sz w:val="21"/>
          <w:szCs w:val="21"/>
        </w:rPr>
        <w:t>“</w:t>
      </w:r>
      <w:r>
        <w:rPr>
          <w:rFonts w:hint="eastAsia" w:ascii="宋体" w:hAnsi="宋体" w:eastAsia="宋体" w:cs="宋体"/>
          <w:color w:val="000000"/>
          <w:sz w:val="21"/>
          <w:szCs w:val="21"/>
        </w:rPr>
        <w:t>气</w:t>
      </w:r>
      <w:r>
        <w:rPr>
          <w:rFonts w:hint="eastAsia" w:ascii="宋体" w:hAnsi="宋体" w:eastAsia="宋体" w:cs="宋体"/>
          <w:color w:val="000000"/>
          <w:sz w:val="21"/>
          <w:szCs w:val="21"/>
        </w:rPr>
        <w:t>”</w:t>
      </w:r>
      <w:r>
        <w:rPr>
          <w:rFonts w:hint="eastAsia" w:ascii="宋体" w:hAnsi="宋体" w:eastAsia="宋体" w:cs="宋体"/>
          <w:color w:val="000000"/>
          <w:sz w:val="21"/>
          <w:szCs w:val="21"/>
        </w:rPr>
        <w:t>主要是在线粒体中产生的</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C．出现气衰的症状是因为机体能量供应不足</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D．出现气少症状时体内脂肪大量转化为糖类</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5．</w:t>
      </w:r>
      <w:r>
        <w:rPr>
          <w:rFonts w:hint="eastAsia" w:ascii="宋体" w:hAnsi="宋体" w:eastAsia="宋体" w:cs="宋体"/>
          <w:color w:val="000000"/>
          <w:sz w:val="21"/>
          <w:szCs w:val="21"/>
        </w:rPr>
        <w:t>下列有关生物科学史的叙述，错误的是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A．沃森和克里克运用</w:t>
      </w:r>
      <w:r>
        <w:rPr>
          <w:rFonts w:hint="eastAsia" w:ascii="宋体" w:hAnsi="宋体" w:eastAsia="宋体" w:cs="宋体"/>
          <w:color w:val="000000"/>
          <w:sz w:val="21"/>
          <w:szCs w:val="21"/>
        </w:rPr>
        <w:t>“</w:t>
      </w:r>
      <w:r>
        <w:rPr>
          <w:rFonts w:hint="eastAsia" w:ascii="宋体" w:hAnsi="宋体" w:eastAsia="宋体" w:cs="宋体"/>
          <w:color w:val="000000"/>
          <w:sz w:val="21"/>
          <w:szCs w:val="21"/>
        </w:rPr>
        <w:t>假说一演绎法</w:t>
      </w:r>
      <w:r>
        <w:rPr>
          <w:rFonts w:hint="eastAsia" w:ascii="宋体" w:hAnsi="宋体" w:eastAsia="宋体" w:cs="宋体"/>
          <w:color w:val="000000"/>
          <w:sz w:val="21"/>
          <w:szCs w:val="21"/>
        </w:rPr>
        <w:t>”</w:t>
      </w:r>
      <w:r>
        <w:rPr>
          <w:rFonts w:hint="eastAsia" w:ascii="宋体" w:hAnsi="宋体" w:eastAsia="宋体" w:cs="宋体"/>
          <w:color w:val="000000"/>
          <w:sz w:val="21"/>
          <w:szCs w:val="21"/>
        </w:rPr>
        <w:t>证明了DNA半保留复制的机理</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B．孟德尔运用</w:t>
      </w:r>
      <w:r>
        <w:rPr>
          <w:rFonts w:hint="eastAsia" w:ascii="宋体" w:hAnsi="宋体" w:eastAsia="宋体" w:cs="宋体"/>
          <w:color w:val="000000"/>
          <w:sz w:val="21"/>
          <w:szCs w:val="21"/>
        </w:rPr>
        <w:t>“</w:t>
      </w:r>
      <w:r>
        <w:rPr>
          <w:rFonts w:hint="eastAsia" w:ascii="宋体" w:hAnsi="宋体" w:eastAsia="宋体" w:cs="宋体"/>
          <w:color w:val="000000"/>
          <w:sz w:val="21"/>
          <w:szCs w:val="21"/>
        </w:rPr>
        <w:t>假说一演绎法</w:t>
      </w:r>
      <w:r>
        <w:rPr>
          <w:rFonts w:hint="eastAsia" w:ascii="宋体" w:hAnsi="宋体" w:eastAsia="宋体" w:cs="宋体"/>
          <w:color w:val="000000"/>
          <w:sz w:val="21"/>
          <w:szCs w:val="21"/>
        </w:rPr>
        <w:t>”</w:t>
      </w:r>
      <w:r>
        <w:rPr>
          <w:rFonts w:hint="eastAsia" w:ascii="宋体" w:hAnsi="宋体" w:eastAsia="宋体" w:cs="宋体"/>
          <w:color w:val="000000"/>
          <w:sz w:val="21"/>
          <w:szCs w:val="21"/>
        </w:rPr>
        <w:t>提出了分离定律和自由组合定律</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C．鲁宾和卡门运用</w:t>
      </w:r>
      <w:r>
        <w:rPr>
          <w:rFonts w:hint="eastAsia" w:ascii="宋体" w:hAnsi="宋体" w:eastAsia="宋体" w:cs="宋体"/>
          <w:color w:val="000000"/>
          <w:sz w:val="21"/>
          <w:szCs w:val="21"/>
        </w:rPr>
        <w:t>“</w:t>
      </w:r>
      <w:r>
        <w:rPr>
          <w:rFonts w:hint="eastAsia" w:ascii="宋体" w:hAnsi="宋体" w:eastAsia="宋体" w:cs="宋体"/>
          <w:color w:val="000000"/>
          <w:sz w:val="21"/>
          <w:szCs w:val="21"/>
        </w:rPr>
        <w:t>同位素标记法</w:t>
      </w:r>
      <w:r>
        <w:rPr>
          <w:rFonts w:hint="eastAsia" w:ascii="宋体" w:hAnsi="宋体" w:eastAsia="宋体" w:cs="宋体"/>
          <w:color w:val="000000"/>
          <w:sz w:val="21"/>
          <w:szCs w:val="21"/>
        </w:rPr>
        <w:t>”</w:t>
      </w:r>
      <w:r>
        <w:rPr>
          <w:rFonts w:hint="eastAsia" w:ascii="宋体" w:hAnsi="宋体" w:eastAsia="宋体" w:cs="宋体"/>
          <w:color w:val="000000"/>
          <w:sz w:val="21"/>
          <w:szCs w:val="21"/>
        </w:rPr>
        <w:t>发现光合作用释放的氧气来自于水</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D．施莱登和施旺运用</w:t>
      </w:r>
      <w:r>
        <w:rPr>
          <w:rFonts w:hint="eastAsia" w:ascii="宋体" w:hAnsi="宋体" w:eastAsia="宋体" w:cs="宋体"/>
          <w:color w:val="000000"/>
          <w:sz w:val="21"/>
          <w:szCs w:val="21"/>
        </w:rPr>
        <w:t>“</w:t>
      </w:r>
      <w:r>
        <w:rPr>
          <w:rFonts w:hint="eastAsia" w:ascii="宋体" w:hAnsi="宋体" w:eastAsia="宋体" w:cs="宋体"/>
          <w:color w:val="000000"/>
          <w:sz w:val="21"/>
          <w:szCs w:val="21"/>
        </w:rPr>
        <w:t>归纳法</w:t>
      </w:r>
      <w:r>
        <w:rPr>
          <w:rFonts w:hint="eastAsia" w:ascii="宋体" w:hAnsi="宋体" w:eastAsia="宋体" w:cs="宋体"/>
          <w:color w:val="000000"/>
          <w:sz w:val="21"/>
          <w:szCs w:val="21"/>
        </w:rPr>
        <w:t>”</w:t>
      </w:r>
      <w:r>
        <w:rPr>
          <w:rFonts w:hint="eastAsia" w:ascii="宋体" w:hAnsi="宋体" w:eastAsia="宋体" w:cs="宋体"/>
          <w:color w:val="000000"/>
          <w:sz w:val="21"/>
          <w:szCs w:val="21"/>
        </w:rPr>
        <w:t>提出一切动植物都是由细胞发育而来</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6．</w:t>
      </w:r>
      <w:r>
        <w:rPr>
          <w:rFonts w:hint="eastAsia" w:ascii="宋体" w:hAnsi="宋体" w:eastAsia="宋体" w:cs="宋体"/>
          <w:color w:val="000000"/>
          <w:sz w:val="21"/>
          <w:szCs w:val="21"/>
        </w:rPr>
        <w:t>为探究酸雨对毛竹光合作用的影响，科研人员用不同浓度的溶液（模拟酸雨，SO</w:t>
      </w:r>
      <w:r>
        <w:rPr>
          <w:rFonts w:hint="eastAsia" w:ascii="宋体" w:hAnsi="宋体" w:eastAsia="宋体" w:cs="宋体"/>
          <w:color w:val="000000"/>
          <w:sz w:val="21"/>
          <w:szCs w:val="21"/>
          <w:vertAlign w:val="subscript"/>
        </w:rPr>
        <w:t>4</w:t>
      </w:r>
      <w:r>
        <w:rPr>
          <w:rFonts w:hint="eastAsia" w:ascii="宋体" w:hAnsi="宋体" w:eastAsia="宋体" w:cs="宋体"/>
          <w:color w:val="000000"/>
          <w:sz w:val="21"/>
          <w:szCs w:val="21"/>
          <w:vertAlign w:val="superscript"/>
        </w:rPr>
        <w:t>2</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和NO</w:t>
      </w:r>
      <w:r>
        <w:rPr>
          <w:rFonts w:hint="eastAsia" w:ascii="宋体" w:hAnsi="宋体" w:eastAsia="宋体" w:cs="宋体"/>
          <w:color w:val="000000"/>
          <w:sz w:val="21"/>
          <w:szCs w:val="21"/>
          <w:vertAlign w:val="subscript"/>
        </w:rPr>
        <w:t>3</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按一定比例配制而成）</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处理毛竹，下表是不同pH酸雨对叶绿素含量(mg/g)影响的结果。下列有关说法不正确的是</w:t>
      </w:r>
    </w:p>
    <w:tbl>
      <w:tblPr>
        <w:tblStyle w:val="2"/>
        <w:tblpPr w:leftFromText="180" w:rightFromText="180" w:vertAnchor="text" w:horzAnchor="page" w:tblpX="7167" w:tblpY="129"/>
        <w:tblOverlap w:val="never"/>
        <w:tblW w:w="0" w:type="auto"/>
        <w:tblInd w:w="0" w:type="dxa"/>
        <w:tblLayout w:type="fixed"/>
        <w:tblCellMar>
          <w:top w:w="0" w:type="dxa"/>
          <w:left w:w="0" w:type="dxa"/>
          <w:bottom w:w="0" w:type="dxa"/>
          <w:right w:w="0" w:type="dxa"/>
        </w:tblCellMar>
      </w:tblPr>
      <w:tblGrid>
        <w:gridCol w:w="838"/>
        <w:gridCol w:w="932"/>
        <w:gridCol w:w="900"/>
        <w:gridCol w:w="900"/>
      </w:tblGrid>
      <w:tr>
        <w:tblPrEx>
          <w:tblCellMar>
            <w:top w:w="0" w:type="dxa"/>
            <w:left w:w="0" w:type="dxa"/>
            <w:bottom w:w="0" w:type="dxa"/>
            <w:right w:w="0" w:type="dxa"/>
          </w:tblCellMar>
        </w:tblPrEx>
        <w:trPr>
          <w:trHeight w:val="316" w:hRule="atLeast"/>
        </w:trPr>
        <w:tc>
          <w:tcPr>
            <w:tcW w:w="838" w:type="dxa"/>
            <w:tcBorders>
              <w:top w:val="single" w:color="auto" w:sz="12"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1"/>
                <w:szCs w:val="21"/>
              </w:rPr>
            </w:pPr>
          </w:p>
        </w:tc>
        <w:tc>
          <w:tcPr>
            <w:tcW w:w="932" w:type="dxa"/>
            <w:tcBorders>
              <w:top w:val="single" w:color="auto" w:sz="12"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15天</w:t>
            </w:r>
          </w:p>
        </w:tc>
        <w:tc>
          <w:tcPr>
            <w:tcW w:w="900" w:type="dxa"/>
            <w:tcBorders>
              <w:top w:val="single" w:color="auto" w:sz="12"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45天</w:t>
            </w:r>
          </w:p>
        </w:tc>
        <w:tc>
          <w:tcPr>
            <w:tcW w:w="900" w:type="dxa"/>
            <w:tcBorders>
              <w:top w:val="single" w:color="auto" w:sz="12"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75天</w:t>
            </w:r>
          </w:p>
        </w:tc>
      </w:tr>
      <w:tr>
        <w:tblPrEx>
          <w:tblCellMar>
            <w:top w:w="0" w:type="dxa"/>
            <w:left w:w="0" w:type="dxa"/>
            <w:bottom w:w="0" w:type="dxa"/>
            <w:right w:w="0" w:type="dxa"/>
          </w:tblCellMar>
        </w:tblPrEx>
        <w:trPr>
          <w:trHeight w:val="40" w:hRule="atLeast"/>
        </w:trPr>
        <w:tc>
          <w:tcPr>
            <w:tcW w:w="838"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对照</w:t>
            </w:r>
          </w:p>
        </w:tc>
        <w:tc>
          <w:tcPr>
            <w:tcW w:w="932"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2. 98</w:t>
            </w:r>
          </w:p>
        </w:tc>
        <w:tc>
          <w:tcPr>
            <w:tcW w:w="90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2. 87</w:t>
            </w:r>
          </w:p>
        </w:tc>
        <w:tc>
          <w:tcPr>
            <w:tcW w:w="90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2. 98</w:t>
            </w:r>
          </w:p>
        </w:tc>
      </w:tr>
      <w:tr>
        <w:tblPrEx>
          <w:tblCellMar>
            <w:top w:w="0" w:type="dxa"/>
            <w:left w:w="0" w:type="dxa"/>
            <w:bottom w:w="0" w:type="dxa"/>
            <w:right w:w="0" w:type="dxa"/>
          </w:tblCellMar>
        </w:tblPrEx>
        <w:trPr>
          <w:trHeight w:val="40" w:hRule="atLeast"/>
        </w:trPr>
        <w:tc>
          <w:tcPr>
            <w:tcW w:w="838"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pH5.6</w:t>
            </w:r>
          </w:p>
        </w:tc>
        <w:tc>
          <w:tcPr>
            <w:tcW w:w="932"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2. 87</w:t>
            </w:r>
          </w:p>
        </w:tc>
        <w:tc>
          <w:tcPr>
            <w:tcW w:w="90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2. 99</w:t>
            </w:r>
          </w:p>
        </w:tc>
        <w:tc>
          <w:tcPr>
            <w:tcW w:w="90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3. 45</w:t>
            </w:r>
          </w:p>
        </w:tc>
      </w:tr>
      <w:tr>
        <w:tblPrEx>
          <w:tblCellMar>
            <w:top w:w="0" w:type="dxa"/>
            <w:left w:w="0" w:type="dxa"/>
            <w:bottom w:w="0" w:type="dxa"/>
            <w:right w:w="0" w:type="dxa"/>
          </w:tblCellMar>
        </w:tblPrEx>
        <w:trPr>
          <w:trHeight w:val="40" w:hRule="atLeast"/>
        </w:trPr>
        <w:tc>
          <w:tcPr>
            <w:tcW w:w="838"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pH4.0</w:t>
            </w:r>
          </w:p>
        </w:tc>
        <w:tc>
          <w:tcPr>
            <w:tcW w:w="932"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2. 87</w:t>
            </w:r>
          </w:p>
        </w:tc>
        <w:tc>
          <w:tcPr>
            <w:tcW w:w="90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2. 76</w:t>
            </w:r>
          </w:p>
        </w:tc>
        <w:tc>
          <w:tcPr>
            <w:tcW w:w="90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1. 97</w:t>
            </w:r>
          </w:p>
        </w:tc>
      </w:tr>
      <w:tr>
        <w:tblPrEx>
          <w:tblCellMar>
            <w:top w:w="0" w:type="dxa"/>
            <w:left w:w="0" w:type="dxa"/>
            <w:bottom w:w="0" w:type="dxa"/>
            <w:right w:w="0" w:type="dxa"/>
          </w:tblCellMar>
        </w:tblPrEx>
        <w:trPr>
          <w:trHeight w:val="40" w:hRule="atLeast"/>
        </w:trPr>
        <w:tc>
          <w:tcPr>
            <w:tcW w:w="838" w:type="dxa"/>
            <w:tcBorders>
              <w:top w:val="single" w:color="auto" w:sz="8" w:space="0"/>
              <w:left w:val="single" w:color="auto" w:sz="12"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pH2.5</w:t>
            </w:r>
          </w:p>
        </w:tc>
        <w:tc>
          <w:tcPr>
            <w:tcW w:w="932"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2. 82</w:t>
            </w:r>
          </w:p>
        </w:tc>
        <w:tc>
          <w:tcPr>
            <w:tcW w:w="900"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2. 17</w:t>
            </w:r>
          </w:p>
        </w:tc>
        <w:tc>
          <w:tcPr>
            <w:tcW w:w="900" w:type="dxa"/>
            <w:tcBorders>
              <w:top w:val="single" w:color="auto" w:sz="8" w:space="0"/>
              <w:left w:val="single" w:color="auto" w:sz="8" w:space="0"/>
              <w:bottom w:val="single" w:color="auto" w:sz="12"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1. 64</w:t>
            </w:r>
          </w:p>
        </w:tc>
      </w:tr>
    </w:tbl>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A．光反应与类囊体薄膜上的光合色素和膜蛋白有关</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B．绿叶中色素的提取和分离常用无水乙醇作溶剂</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C．当酸雨pH小于4时，毛竹光合速率会降低的原因可能跟色素含量的降低有关</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D．当使用pH5.6的溶液处理，叶绿素含量上升的原因可能是该溶液为植物提供了更多的无机盐</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b/>
          <w:bCs/>
          <w:color w:val="000000"/>
          <w:sz w:val="21"/>
          <w:szCs w:val="21"/>
        </w:rPr>
      </w:pP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7．</w:t>
      </w:r>
      <w:r>
        <w:rPr>
          <w:rFonts w:hint="eastAsia" w:ascii="宋体" w:hAnsi="宋体" w:eastAsia="宋体" w:cs="宋体"/>
          <w:color w:val="000000"/>
          <w:sz w:val="21"/>
          <w:szCs w:val="21"/>
        </w:rPr>
        <w:t>拟南芥的染色体数目少，是第一个基因组被完整测序的植物。研究发现，野生型拟南芥的细胞核核孔上存在H</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蛋白，能够协助mRNA转移，而某种突变型拟南芥的H蛋白功能缺失。下列有关该突变型拟南芥的叙述错误的是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A．翻译受到抑制    </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B．有大量mRNA积累在细胞质中</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C．细胞核核孔仍然可以进行物质交换  </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D．H蛋白的空间结构可能发生改变</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8．</w:t>
      </w:r>
      <w:r>
        <w:rPr>
          <w:rFonts w:hint="eastAsia" w:ascii="宋体" w:hAnsi="宋体" w:eastAsia="宋体" w:cs="宋体"/>
          <w:color w:val="000000"/>
          <w:sz w:val="21"/>
          <w:szCs w:val="21"/>
        </w:rPr>
        <w:t>不同真核生物的染色体组成不同，下表列举了几种生物的染色体组成情况，相关叙述错误的是</w:t>
      </w:r>
    </w:p>
    <w:tbl>
      <w:tblPr>
        <w:tblStyle w:val="2"/>
        <w:tblW w:w="7060" w:type="dxa"/>
        <w:jc w:val="center"/>
        <w:tblLayout w:type="fixed"/>
        <w:tblCellMar>
          <w:top w:w="0" w:type="dxa"/>
          <w:left w:w="0" w:type="dxa"/>
          <w:bottom w:w="0" w:type="dxa"/>
          <w:right w:w="0" w:type="dxa"/>
        </w:tblCellMar>
      </w:tblPr>
      <w:tblGrid>
        <w:gridCol w:w="1403"/>
        <w:gridCol w:w="1337"/>
        <w:gridCol w:w="1440"/>
        <w:gridCol w:w="1440"/>
        <w:gridCol w:w="1440"/>
      </w:tblGrid>
      <w:tr>
        <w:tblPrEx>
          <w:tblCellMar>
            <w:top w:w="0" w:type="dxa"/>
            <w:left w:w="0" w:type="dxa"/>
            <w:bottom w:w="0" w:type="dxa"/>
            <w:right w:w="0" w:type="dxa"/>
          </w:tblCellMar>
        </w:tblPrEx>
        <w:trPr>
          <w:trHeight w:val="30" w:hRule="atLeast"/>
          <w:jc w:val="center"/>
        </w:trPr>
        <w:tc>
          <w:tcPr>
            <w:tcW w:w="1403" w:type="dxa"/>
            <w:tcBorders>
              <w:top w:val="single" w:color="auto" w:sz="12"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1"/>
                <w:szCs w:val="21"/>
              </w:rPr>
            </w:pPr>
          </w:p>
        </w:tc>
        <w:tc>
          <w:tcPr>
            <w:tcW w:w="1337" w:type="dxa"/>
            <w:tcBorders>
              <w:top w:val="single" w:color="auto" w:sz="12"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人</w:t>
            </w:r>
          </w:p>
        </w:tc>
        <w:tc>
          <w:tcPr>
            <w:tcW w:w="1440" w:type="dxa"/>
            <w:tcBorders>
              <w:top w:val="single" w:color="auto" w:sz="12"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鸡</w:t>
            </w:r>
          </w:p>
        </w:tc>
        <w:tc>
          <w:tcPr>
            <w:tcW w:w="1440" w:type="dxa"/>
            <w:tcBorders>
              <w:top w:val="single" w:color="auto" w:sz="12"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蝗虫</w:t>
            </w:r>
          </w:p>
        </w:tc>
        <w:tc>
          <w:tcPr>
            <w:tcW w:w="1440" w:type="dxa"/>
            <w:tcBorders>
              <w:top w:val="single" w:color="auto" w:sz="12"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蜜蜂</w:t>
            </w:r>
          </w:p>
        </w:tc>
      </w:tr>
      <w:tr>
        <w:tblPrEx>
          <w:tblCellMar>
            <w:top w:w="0" w:type="dxa"/>
            <w:left w:w="0" w:type="dxa"/>
            <w:bottom w:w="0" w:type="dxa"/>
            <w:right w:w="0" w:type="dxa"/>
          </w:tblCellMar>
        </w:tblPrEx>
        <w:trPr>
          <w:trHeight w:val="321" w:hRule="atLeast"/>
          <w:jc w:val="center"/>
        </w:trPr>
        <w:tc>
          <w:tcPr>
            <w:tcW w:w="1403"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雌性</w:t>
            </w:r>
          </w:p>
        </w:tc>
        <w:tc>
          <w:tcPr>
            <w:tcW w:w="1337"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44+XX</w:t>
            </w:r>
          </w:p>
        </w:tc>
        <w:tc>
          <w:tcPr>
            <w:tcW w:w="144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76+ZW</w:t>
            </w:r>
          </w:p>
        </w:tc>
        <w:tc>
          <w:tcPr>
            <w:tcW w:w="144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22+XX</w:t>
            </w:r>
          </w:p>
        </w:tc>
        <w:tc>
          <w:tcPr>
            <w:tcW w:w="144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32（二倍体）</w:t>
            </w:r>
          </w:p>
        </w:tc>
      </w:tr>
      <w:tr>
        <w:tblPrEx>
          <w:tblCellMar>
            <w:top w:w="0" w:type="dxa"/>
            <w:left w:w="0" w:type="dxa"/>
            <w:bottom w:w="0" w:type="dxa"/>
            <w:right w:w="0" w:type="dxa"/>
          </w:tblCellMar>
        </w:tblPrEx>
        <w:trPr>
          <w:trHeight w:val="321" w:hRule="atLeast"/>
          <w:jc w:val="center"/>
        </w:trPr>
        <w:tc>
          <w:tcPr>
            <w:tcW w:w="1403" w:type="dxa"/>
            <w:tcBorders>
              <w:top w:val="single" w:color="auto" w:sz="8" w:space="0"/>
              <w:left w:val="single" w:color="auto" w:sz="12"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雄性</w:t>
            </w:r>
          </w:p>
        </w:tc>
        <w:tc>
          <w:tcPr>
            <w:tcW w:w="1337"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44+XY</w:t>
            </w:r>
          </w:p>
        </w:tc>
        <w:tc>
          <w:tcPr>
            <w:tcW w:w="1440"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76+</w:t>
            </w:r>
            <w:r>
              <w:rPr>
                <w:rFonts w:hint="eastAsia" w:ascii="宋体" w:hAnsi="宋体" w:eastAsia="宋体" w:cs="宋体"/>
                <w:color w:val="000000"/>
                <w:kern w:val="0"/>
                <w:sz w:val="21"/>
                <w:szCs w:val="21"/>
              </w:rPr>
              <w:t>ZZ</w:t>
            </w:r>
          </w:p>
        </w:tc>
        <w:tc>
          <w:tcPr>
            <w:tcW w:w="1440"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22+X</w:t>
            </w:r>
          </w:p>
        </w:tc>
        <w:tc>
          <w:tcPr>
            <w:tcW w:w="1440" w:type="dxa"/>
            <w:tcBorders>
              <w:top w:val="single" w:color="auto" w:sz="8" w:space="0"/>
              <w:left w:val="single" w:color="auto" w:sz="8" w:space="0"/>
              <w:bottom w:val="single" w:color="auto" w:sz="12"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16（单倍体）</w:t>
            </w:r>
          </w:p>
        </w:tc>
      </w:tr>
    </w:tbl>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A．人的一个染色体组中含有22条常染色体和X、Y染色体</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B．雄性蝗虫在减数分裂过程中，最多可出现2条X染色体</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w:t>
      </w:r>
      <w:r>
        <w:rPr>
          <w:rFonts w:hint="eastAsia" w:ascii="宋体" w:hAnsi="宋体" w:eastAsia="宋体" w:cs="宋体"/>
          <w:color w:val="000000"/>
          <w:sz w:val="21"/>
          <w:szCs w:val="21"/>
        </w:rPr>
        <w:t>一</w:t>
      </w:r>
      <w:r>
        <w:rPr>
          <w:rFonts w:hint="eastAsia" w:ascii="宋体" w:hAnsi="宋体" w:eastAsia="宋体" w:cs="宋体"/>
          <w:color w:val="000000"/>
          <w:sz w:val="21"/>
          <w:szCs w:val="21"/>
        </w:rPr>
        <w:t>只母鸡性反转成公鸡后和正常母鸡交配，后代的雌雄性别比例为2：1</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D．蜜蜂的性别决定方式与果蝇不同，雄配子中有16条染色体</w:t>
      </w:r>
    </w:p>
    <w:p>
      <w:pPr>
        <w:keepNext w:val="0"/>
        <w:keepLines w:val="0"/>
        <w:pageBreakBefore w:val="0"/>
        <w:widowControl w:val="0"/>
        <w:kinsoku/>
        <w:wordWrap/>
        <w:overflowPunct/>
        <w:topLinePunct w:val="0"/>
        <w:bidi w:val="0"/>
        <w:adjustRightInd/>
        <w:snapToGrid/>
        <w:spacing w:line="240" w:lineRule="auto"/>
        <w:ind w:left="315" w:hanging="316" w:hangingChars="1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9．</w:t>
      </w:r>
      <w:r>
        <w:rPr>
          <w:rFonts w:hint="eastAsia" w:ascii="宋体" w:hAnsi="宋体" w:eastAsia="宋体" w:cs="宋体"/>
          <w:color w:val="000000"/>
          <w:sz w:val="21"/>
          <w:szCs w:val="21"/>
        </w:rPr>
        <w:t>鼠尾草的雄蕊高度专化，成为活动的杠杆系统，并与蜜蜂的大小相适应。当蜜蜂前来采蜜时，根据杠杆原理，</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上部的长臂向下弯曲，使顶端的花药接触到蜜蜂背部，花粉便散落在蜜蜂背上，当蜜蜂飞到另一朵花上时，花粉就</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落到成熟的雌蕊柱头上，从而完成传粉。下列相关叙述正确的是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A．鼠尾草的特征决定了蜜蜂的变异方向  </w:t>
      </w:r>
      <w:r>
        <w:rPr>
          <w:rFonts w:hint="eastAsia" w:ascii="宋体" w:hAnsi="宋体" w:eastAsia="宋体" w:cs="宋体"/>
          <w:color w:val="000000"/>
          <w:sz w:val="21"/>
          <w:szCs w:val="21"/>
        </w:rPr>
        <w:tab/>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B．蜜蜂的口器会因吸食花蜜而越变越长</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C．雄蕊高度专化的鼠尾草产生的花粉更多</w:t>
      </w:r>
      <w:r>
        <w:rPr>
          <w:rFonts w:hint="eastAsia" w:ascii="宋体" w:hAnsi="宋体" w:eastAsia="宋体" w:cs="宋体"/>
          <w:color w:val="000000"/>
          <w:sz w:val="21"/>
          <w:szCs w:val="21"/>
        </w:rPr>
        <w:tab/>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D．鼠尾草与蜜蜂的相适应是协同进化的结果</w:t>
      </w:r>
    </w:p>
    <w:p>
      <w:pPr>
        <w:keepNext w:val="0"/>
        <w:keepLines w:val="0"/>
        <w:pageBreakBefore w:val="0"/>
        <w:widowControl w:val="0"/>
        <w:kinsoku/>
        <w:wordWrap/>
        <w:overflowPunct/>
        <w:topLinePunct w:val="0"/>
        <w:bidi w:val="0"/>
        <w:adjustRightInd/>
        <w:snapToGrid/>
        <w:spacing w:line="240" w:lineRule="auto"/>
        <w:ind w:left="420" w:hanging="422" w:hanging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10．</w:t>
      </w:r>
      <w:r>
        <w:rPr>
          <w:rFonts w:hint="eastAsia" w:ascii="宋体" w:hAnsi="宋体" w:eastAsia="宋体" w:cs="宋体"/>
          <w:color w:val="000000"/>
          <w:sz w:val="21"/>
          <w:szCs w:val="21"/>
        </w:rPr>
        <w:t>“</w:t>
      </w:r>
      <w:r>
        <w:rPr>
          <w:rFonts w:hint="eastAsia" w:ascii="宋体" w:hAnsi="宋体" w:eastAsia="宋体" w:cs="宋体"/>
          <w:color w:val="000000"/>
          <w:sz w:val="21"/>
          <w:szCs w:val="21"/>
        </w:rPr>
        <w:t>番茄没有小时候的味道了</w:t>
      </w:r>
      <w:r>
        <w:rPr>
          <w:rFonts w:hint="eastAsia" w:ascii="宋体" w:hAnsi="宋体" w:eastAsia="宋体" w:cs="宋体"/>
          <w:color w:val="000000"/>
          <w:sz w:val="21"/>
          <w:szCs w:val="21"/>
        </w:rPr>
        <w:t>”</w:t>
      </w:r>
      <w:r>
        <w:rPr>
          <w:rFonts w:hint="eastAsia" w:ascii="宋体" w:hAnsi="宋体" w:eastAsia="宋体" w:cs="宋体"/>
          <w:color w:val="000000"/>
          <w:sz w:val="21"/>
          <w:szCs w:val="21"/>
        </w:rPr>
        <w:t>是由于人们在选育番茄时更注重品相而忽略了风味所导致的。如一个与番茄风味</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相关的基因t可在90%以上的野生番茄中检测到，但仅有不到7%的栽培番茄含有此基因。从进化的角度看，下列说</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法正确的是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A．人工选育扩大了番茄种群的基因库</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B．人工选育为番茄的进化提供了原料</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C．野生番茄和栽培番茄之间存在生殖隔离</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D．人工选育是基因t频率改变的重要原因</w:t>
      </w:r>
    </w:p>
    <w:p>
      <w:pPr>
        <w:keepNext w:val="0"/>
        <w:keepLines w:val="0"/>
        <w:pageBreakBefore w:val="0"/>
        <w:widowControl w:val="0"/>
        <w:kinsoku/>
        <w:wordWrap/>
        <w:overflowPunct/>
        <w:topLinePunct w:val="0"/>
        <w:bidi w:val="0"/>
        <w:adjustRightInd/>
        <w:snapToGrid/>
        <w:spacing w:line="240" w:lineRule="auto"/>
        <w:ind w:left="420" w:hanging="422" w:hanging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11．</w:t>
      </w:r>
      <w:r>
        <w:rPr>
          <w:rFonts w:hint="eastAsia" w:ascii="宋体" w:hAnsi="宋体" w:eastAsia="宋体" w:cs="宋体"/>
          <w:color w:val="000000"/>
          <w:sz w:val="21"/>
          <w:szCs w:val="21"/>
        </w:rPr>
        <w:t>内质网自噬是一种由溶酶体介导的针对受损细胞结构进行降解的选择性自噬，在自噬作用中，溶酶体膜收缩并</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将内质网的一部分</w:t>
      </w:r>
      <w:r>
        <w:rPr>
          <w:rFonts w:hint="eastAsia" w:ascii="宋体" w:hAnsi="宋体" w:eastAsia="宋体" w:cs="宋体"/>
          <w:color w:val="000000"/>
          <w:sz w:val="21"/>
          <w:szCs w:val="21"/>
        </w:rPr>
        <w:t>“</w:t>
      </w:r>
      <w:r>
        <w:rPr>
          <w:rFonts w:hint="eastAsia" w:ascii="宋体" w:hAnsi="宋体" w:eastAsia="宋体" w:cs="宋体"/>
          <w:color w:val="000000"/>
          <w:sz w:val="21"/>
          <w:szCs w:val="21"/>
        </w:rPr>
        <w:t>掐断</w:t>
      </w:r>
      <w:r>
        <w:rPr>
          <w:rFonts w:hint="eastAsia" w:ascii="宋体" w:hAnsi="宋体" w:eastAsia="宋体" w:cs="宋体"/>
          <w:color w:val="000000"/>
          <w:sz w:val="21"/>
          <w:szCs w:val="21"/>
        </w:rPr>
        <w:t>”</w:t>
      </w:r>
      <w:r>
        <w:rPr>
          <w:rFonts w:hint="eastAsia" w:ascii="宋体" w:hAnsi="宋体" w:eastAsia="宋体" w:cs="宋体"/>
          <w:color w:val="000000"/>
          <w:sz w:val="21"/>
          <w:szCs w:val="21"/>
        </w:rPr>
        <w:t>到溶酶体腔内进行降解。此外，溶酶体还可以直接与内质网衍生的囊泡进行融合并降解，</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sz w:val="21"/>
          <w:szCs w:val="21"/>
        </w:rPr>
        <w:drawing>
          <wp:anchor distT="0" distB="0" distL="114300" distR="114300" simplePos="0" relativeHeight="251661312" behindDoc="0" locked="0" layoutInCell="1" allowOverlap="1">
            <wp:simplePos x="0" y="0"/>
            <wp:positionH relativeFrom="column">
              <wp:posOffset>4889500</wp:posOffset>
            </wp:positionH>
            <wp:positionV relativeFrom="paragraph">
              <wp:posOffset>11430</wp:posOffset>
            </wp:positionV>
            <wp:extent cx="1462405" cy="1129665"/>
            <wp:effectExtent l="0" t="0" r="4445" b="13335"/>
            <wp:wrapSquare wrapText="bothSides"/>
            <wp:docPr id="3" name="图片 3" descr="HWOCRTEMP_ROC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HWOCRTEMP_ROC30"/>
                    <pic:cNvPicPr>
                      <a:picLocks noChangeAspect="1"/>
                    </pic:cNvPicPr>
                  </pic:nvPicPr>
                  <pic:blipFill>
                    <a:blip r:embed="rId6">
                      <a:lum bright="6000" contrast="30000"/>
                    </a:blip>
                    <a:stretch>
                      <a:fillRect/>
                    </a:stretch>
                  </pic:blipFill>
                  <pic:spPr>
                    <a:xfrm>
                      <a:off x="0" y="0"/>
                      <a:ext cx="1462405" cy="1129665"/>
                    </a:xfrm>
                    <a:prstGeom prst="rect">
                      <a:avLst/>
                    </a:prstGeom>
                    <a:noFill/>
                    <a:ln>
                      <a:noFill/>
                    </a:ln>
                  </pic:spPr>
                </pic:pic>
              </a:graphicData>
            </a:graphic>
          </wp:anchor>
        </w:drawing>
      </w:r>
      <w:r>
        <w:rPr>
          <w:rFonts w:hint="eastAsia" w:ascii="宋体" w:hAnsi="宋体" w:eastAsia="宋体" w:cs="宋体"/>
          <w:color w:val="000000"/>
          <w:sz w:val="21"/>
          <w:szCs w:val="21"/>
        </w:rPr>
        <w:t>从而维持循环周转和细胞能量需求的过程。下列关于内质网自噬的说法正确的是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A．内质网要与溶酶体相互识别从而启动自噬过程</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B．内质网膜与溶酶体膜融合的结构基础是生物膜具有选择透</w:t>
      </w:r>
      <w:r>
        <w:rPr>
          <w:rFonts w:hint="eastAsia" w:ascii="宋体" w:hAnsi="宋体" w:eastAsia="宋体" w:cs="宋体"/>
          <w:color w:val="000000"/>
          <w:sz w:val="21"/>
          <w:szCs w:val="21"/>
        </w:rPr>
        <w:t>过性</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C．溶酶体通过</w:t>
      </w:r>
      <w:r>
        <w:rPr>
          <w:rFonts w:hint="eastAsia" w:ascii="宋体" w:hAnsi="宋体" w:cs="宋体"/>
          <w:color w:val="000000"/>
          <w:sz w:val="21"/>
          <w:szCs w:val="21"/>
          <w:lang w:eastAsia="zh-CN"/>
        </w:rPr>
        <w:t>自己</w:t>
      </w:r>
      <w:r>
        <w:rPr>
          <w:rFonts w:hint="eastAsia" w:ascii="宋体" w:hAnsi="宋体" w:eastAsia="宋体" w:cs="宋体"/>
          <w:color w:val="000000"/>
          <w:sz w:val="21"/>
          <w:szCs w:val="21"/>
        </w:rPr>
        <w:t>合成的水解酶，发挥吞噬降解作用</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D．内质网自噬是一种正常生理过程，其过程不受相关基因调控</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p>
    <w:p>
      <w:pPr>
        <w:keepNext w:val="0"/>
        <w:keepLines w:val="0"/>
        <w:pageBreakBefore w:val="0"/>
        <w:widowControl w:val="0"/>
        <w:numPr>
          <w:ilvl w:val="0"/>
          <w:numId w:val="1"/>
        </w:numPr>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北欧鲫鱼在缺氧时将乳酸转变为酒精（酒精比乳酸的熔点低，不容易凝固），再将酒精经鱼鳃排到水中，使其</w:t>
      </w:r>
    </w:p>
    <w:p>
      <w:pPr>
        <w:keepNext w:val="0"/>
        <w:keepLines w:val="0"/>
        <w:pageBreakBefore w:val="0"/>
        <w:widowControl w:val="0"/>
        <w:numPr>
          <w:numId w:val="0"/>
        </w:numPr>
        <w:kinsoku/>
        <w:wordWrap/>
        <w:overflowPunct/>
        <w:topLinePunct w:val="0"/>
        <w:bidi w:val="0"/>
        <w:adjustRightInd/>
        <w:snapToGrid/>
        <w:spacing w:line="240" w:lineRule="auto"/>
        <w:ind w:leftChars="-200" w:firstLine="630" w:firstLineChars="3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能够在冬季结冰的水下生活。其细胞呼吸过程如下图所示。下列叙述错误的是</w:t>
      </w:r>
    </w:p>
    <w:p>
      <w:pPr>
        <w:keepNext w:val="0"/>
        <w:keepLines w:val="0"/>
        <w:pageBreakBefore w:val="0"/>
        <w:widowControl w:val="0"/>
        <w:kinsoku/>
        <w:wordWrap/>
        <w:overflowPunct/>
        <w:topLinePunct w:val="0"/>
        <w:bidi w:val="0"/>
        <w:adjustRightInd/>
        <w:snapToGrid/>
        <w:spacing w:line="240" w:lineRule="auto"/>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anchor distT="0" distB="0" distL="114300" distR="114300" simplePos="0" relativeHeight="251662336" behindDoc="0" locked="0" layoutInCell="1" allowOverlap="1">
            <wp:simplePos x="0" y="0"/>
            <wp:positionH relativeFrom="column">
              <wp:posOffset>3516630</wp:posOffset>
            </wp:positionH>
            <wp:positionV relativeFrom="paragraph">
              <wp:posOffset>60325</wp:posOffset>
            </wp:positionV>
            <wp:extent cx="3182620" cy="831850"/>
            <wp:effectExtent l="0" t="0" r="17780" b="6350"/>
            <wp:wrapSquare wrapText="bothSides"/>
            <wp:docPr id="2" name="图片 1" descr="HWOCRTEMP_RO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HWOCRTEMP_ROC40"/>
                    <pic:cNvPicPr>
                      <a:picLocks noChangeAspect="1"/>
                    </pic:cNvPicPr>
                  </pic:nvPicPr>
                  <pic:blipFill>
                    <a:blip r:embed="rId7">
                      <a:lum bright="-18000" contrast="36000"/>
                    </a:blip>
                    <a:stretch>
                      <a:fillRect/>
                    </a:stretch>
                  </pic:blipFill>
                  <pic:spPr>
                    <a:xfrm>
                      <a:off x="0" y="0"/>
                      <a:ext cx="3182620" cy="831850"/>
                    </a:xfrm>
                    <a:prstGeom prst="rect">
                      <a:avLst/>
                    </a:prstGeom>
                    <a:noFill/>
                    <a:ln>
                      <a:noFill/>
                    </a:ln>
                  </pic:spPr>
                </pic:pic>
              </a:graphicData>
            </a:graphic>
          </wp:anchor>
        </w:drawing>
      </w:r>
      <w:r>
        <w:rPr>
          <w:rFonts w:hint="eastAsia" w:ascii="宋体" w:hAnsi="宋体" w:eastAsia="宋体" w:cs="宋体"/>
          <w:color w:val="000000"/>
          <w:sz w:val="21"/>
          <w:szCs w:val="21"/>
        </w:rPr>
        <w:t>A．过程</w:t>
      </w:r>
      <w:r>
        <w:rPr>
          <w:rFonts w:hint="eastAsia" w:ascii="宋体" w:hAnsi="宋体" w:eastAsia="宋体" w:cs="宋体"/>
          <w:color w:val="000000"/>
          <w:sz w:val="21"/>
          <w:szCs w:val="21"/>
        </w:rPr>
        <w:t>①②</w:t>
      </w:r>
      <w:r>
        <w:rPr>
          <w:rFonts w:hint="eastAsia" w:ascii="宋体" w:hAnsi="宋体" w:eastAsia="宋体" w:cs="宋体"/>
          <w:color w:val="000000"/>
          <w:sz w:val="21"/>
          <w:szCs w:val="21"/>
        </w:rPr>
        <w:t>③</w:t>
      </w:r>
      <w:r>
        <w:rPr>
          <w:rFonts w:hint="eastAsia" w:ascii="宋体" w:hAnsi="宋体" w:eastAsia="宋体" w:cs="宋体"/>
          <w:color w:val="000000"/>
          <w:sz w:val="21"/>
          <w:szCs w:val="21"/>
        </w:rPr>
        <w:t>都发生在细胞质基质中</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B．图示过程中，葡萄糖中的能量大部分以热能形式散失</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C．北欧鲫鱼肌细胞与其他细胞中催化呼吸作用的酶不完全相同</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D．北欧鲫鱼排出酒精延缓周围水体结冰以适应严寒环境</w:t>
      </w:r>
    </w:p>
    <w:p>
      <w:pPr>
        <w:keepNext w:val="0"/>
        <w:keepLines w:val="0"/>
        <w:pageBreakBefore w:val="0"/>
        <w:widowControl w:val="0"/>
        <w:kinsoku/>
        <w:wordWrap/>
        <w:overflowPunct/>
        <w:topLinePunct w:val="0"/>
        <w:bidi w:val="0"/>
        <w:adjustRightInd/>
        <w:snapToGrid/>
        <w:spacing w:line="240" w:lineRule="auto"/>
        <w:ind w:left="420" w:hanging="422" w:hangingChars="200"/>
        <w:textAlignment w:val="auto"/>
        <w:rPr>
          <w:rFonts w:hint="eastAsia" w:ascii="宋体" w:hAnsi="宋体" w:eastAsia="宋体" w:cs="宋体"/>
          <w:b/>
          <w:bCs/>
          <w:color w:val="000000"/>
          <w:sz w:val="21"/>
          <w:szCs w:val="21"/>
        </w:rPr>
      </w:pPr>
    </w:p>
    <w:p>
      <w:pPr>
        <w:keepNext w:val="0"/>
        <w:keepLines w:val="0"/>
        <w:pageBreakBefore w:val="0"/>
        <w:widowControl w:val="0"/>
        <w:kinsoku/>
        <w:wordWrap/>
        <w:overflowPunct/>
        <w:topLinePunct w:val="0"/>
        <w:bidi w:val="0"/>
        <w:adjustRightInd/>
        <w:snapToGrid/>
        <w:spacing w:line="240" w:lineRule="auto"/>
        <w:ind w:left="420" w:hanging="422" w:hangingChars="200"/>
        <w:textAlignment w:val="auto"/>
        <w:rPr>
          <w:rFonts w:hint="eastAsia" w:ascii="宋体" w:hAnsi="宋体" w:eastAsia="宋体" w:cs="宋体"/>
          <w:b/>
          <w:bCs/>
          <w:color w:val="000000"/>
          <w:sz w:val="21"/>
          <w:szCs w:val="21"/>
          <w:lang w:eastAsia="zh-CN"/>
        </w:rPr>
      </w:pPr>
      <w:r>
        <w:rPr>
          <w:rFonts w:hint="eastAsia" w:ascii="宋体" w:hAnsi="宋体" w:cs="宋体"/>
          <w:b/>
          <w:bCs/>
          <w:color w:val="000000"/>
          <w:sz w:val="21"/>
          <w:szCs w:val="21"/>
          <w:lang w:eastAsia="zh-CN"/>
        </w:rPr>
        <w:t>（</w:t>
      </w:r>
      <w:r>
        <w:rPr>
          <w:rFonts w:hint="eastAsia" w:ascii="宋体" w:hAnsi="宋体" w:cs="宋体"/>
          <w:b/>
          <w:bCs/>
          <w:color w:val="000000"/>
          <w:sz w:val="21"/>
          <w:szCs w:val="21"/>
          <w:lang w:val="en-US" w:eastAsia="zh-CN"/>
        </w:rPr>
        <w:t>13-16题每题4分</w:t>
      </w:r>
      <w:r>
        <w:rPr>
          <w:rFonts w:hint="eastAsia" w:ascii="宋体" w:hAnsi="宋体" w:cs="宋体"/>
          <w:b/>
          <w:bCs/>
          <w:color w:val="000000"/>
          <w:sz w:val="21"/>
          <w:szCs w:val="21"/>
          <w:lang w:eastAsia="zh-CN"/>
        </w:rPr>
        <w:t>）</w:t>
      </w:r>
    </w:p>
    <w:p>
      <w:pPr>
        <w:keepNext w:val="0"/>
        <w:keepLines w:val="0"/>
        <w:pageBreakBefore w:val="0"/>
        <w:widowControl w:val="0"/>
        <w:numPr>
          <w:ilvl w:val="0"/>
          <w:numId w:val="1"/>
        </w:numPr>
        <w:kinsoku/>
        <w:wordWrap/>
        <w:overflowPunct/>
        <w:topLinePunct w:val="0"/>
        <w:bidi w:val="0"/>
        <w:adjustRightInd/>
        <w:snapToGrid/>
        <w:spacing w:line="240" w:lineRule="auto"/>
        <w:ind w:left="420" w:leftChars="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anchor distT="0" distB="0" distL="114300" distR="114300" simplePos="0" relativeHeight="251663360" behindDoc="0" locked="0" layoutInCell="1" allowOverlap="1">
            <wp:simplePos x="0" y="0"/>
            <wp:positionH relativeFrom="column">
              <wp:posOffset>4628515</wp:posOffset>
            </wp:positionH>
            <wp:positionV relativeFrom="paragraph">
              <wp:posOffset>40005</wp:posOffset>
            </wp:positionV>
            <wp:extent cx="1954530" cy="1498600"/>
            <wp:effectExtent l="0" t="0" r="7620" b="6350"/>
            <wp:wrapSquare wrapText="bothSides"/>
            <wp:docPr id="4" name="图片 2" descr="HWOCRTEMP_RO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HWOCRTEMP_ROC50"/>
                    <pic:cNvPicPr>
                      <a:picLocks noChangeAspect="1"/>
                    </pic:cNvPicPr>
                  </pic:nvPicPr>
                  <pic:blipFill>
                    <a:blip r:embed="rId8"/>
                    <a:stretch>
                      <a:fillRect/>
                    </a:stretch>
                  </pic:blipFill>
                  <pic:spPr>
                    <a:xfrm>
                      <a:off x="0" y="0"/>
                      <a:ext cx="1954530" cy="1498600"/>
                    </a:xfrm>
                    <a:prstGeom prst="rect">
                      <a:avLst/>
                    </a:prstGeom>
                    <a:noFill/>
                    <a:ln>
                      <a:noFill/>
                    </a:ln>
                  </pic:spPr>
                </pic:pic>
              </a:graphicData>
            </a:graphic>
          </wp:anchor>
        </w:drawing>
      </w:r>
      <w:r>
        <w:rPr>
          <w:rFonts w:hint="eastAsia" w:ascii="宋体" w:hAnsi="宋体" w:eastAsia="宋体" w:cs="宋体"/>
          <w:color w:val="000000"/>
          <w:sz w:val="21"/>
          <w:szCs w:val="21"/>
        </w:rPr>
        <w:t>科学研究发现，某植物细胞利用ATP酶和质子泵把细胞内的H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泵出，导</w:t>
      </w:r>
    </w:p>
    <w:p>
      <w:pPr>
        <w:keepNext w:val="0"/>
        <w:keepLines w:val="0"/>
        <w:pageBreakBefore w:val="0"/>
        <w:widowControl w:val="0"/>
        <w:numPr>
          <w:numId w:val="0"/>
        </w:numPr>
        <w:kinsoku/>
        <w:wordWrap/>
        <w:overflowPunct/>
        <w:topLinePunct w:val="0"/>
        <w:bidi w:val="0"/>
        <w:adjustRightInd/>
        <w:snapToGrid/>
        <w:spacing w:line="240" w:lineRule="auto"/>
        <w:ind w:leftChars="-200" w:firstLine="630" w:firstLineChars="300"/>
        <w:textAlignment w:val="auto"/>
        <w:rPr>
          <w:rFonts w:hint="eastAsia" w:ascii="宋体" w:hAnsi="宋体" w:cs="宋体"/>
          <w:color w:val="000000"/>
          <w:sz w:val="21"/>
          <w:szCs w:val="21"/>
          <w:lang w:val="en-US" w:eastAsia="zh-CN"/>
        </w:rPr>
      </w:pPr>
      <w:r>
        <w:rPr>
          <w:rFonts w:hint="eastAsia" w:ascii="宋体" w:hAnsi="宋体" w:eastAsia="宋体" w:cs="宋体"/>
          <w:color w:val="000000"/>
          <w:sz w:val="21"/>
          <w:szCs w:val="21"/>
        </w:rPr>
        <w:t>致细胞外H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浓度较高，形成细胞内外的H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浓度差；</w:t>
      </w:r>
      <w:r>
        <w:rPr>
          <w:rFonts w:hint="eastAsia" w:ascii="宋体" w:hAnsi="宋体" w:eastAsia="宋体" w:cs="宋体"/>
          <w:color w:val="000000"/>
          <w:sz w:val="21"/>
          <w:szCs w:val="21"/>
        </w:rPr>
        <w:t>“</w:t>
      </w:r>
      <w:r>
        <w:rPr>
          <w:rFonts w:hint="eastAsia" w:ascii="宋体" w:hAnsi="宋体" w:eastAsia="宋体" w:cs="宋体"/>
          <w:color w:val="000000"/>
          <w:sz w:val="21"/>
          <w:szCs w:val="21"/>
        </w:rPr>
        <w:t>质子</w:t>
      </w:r>
      <w:r>
        <w:rPr>
          <w:rFonts w:hint="eastAsia" w:ascii="宋体" w:hAnsi="宋体" w:eastAsia="宋体" w:cs="宋体"/>
          <w:color w:val="000000"/>
          <w:sz w:val="21"/>
          <w:szCs w:val="21"/>
        </w:rPr>
        <w:t>-</w:t>
      </w:r>
      <w:r>
        <w:rPr>
          <w:rFonts w:hint="eastAsia" w:ascii="宋体" w:hAnsi="宋体" w:eastAsia="宋体" w:cs="宋体"/>
          <w:color w:val="000000"/>
          <w:sz w:val="21"/>
          <w:szCs w:val="21"/>
        </w:rPr>
        <w:t>蔗糖共转运蛋白</w:t>
      </w: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 xml:space="preserve">   </w:t>
      </w:r>
    </w:p>
    <w:p>
      <w:pPr>
        <w:keepNext w:val="0"/>
        <w:keepLines w:val="0"/>
        <w:pageBreakBefore w:val="0"/>
        <w:widowControl w:val="0"/>
        <w:numPr>
          <w:numId w:val="0"/>
        </w:numPr>
        <w:kinsoku/>
        <w:wordWrap/>
        <w:overflowPunct/>
        <w:topLinePunct w:val="0"/>
        <w:bidi w:val="0"/>
        <w:adjustRightInd/>
        <w:snapToGrid/>
        <w:spacing w:line="240" w:lineRule="auto"/>
        <w:ind w:leftChars="-200" w:firstLine="630" w:firstLineChars="3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能够依靠H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浓度差把H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和蔗糖分子运入细胞。如图所示，由此可以推断出</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w:t>
      </w:r>
      <w:r>
        <w:rPr>
          <w:rFonts w:hint="eastAsia" w:ascii="宋体" w:hAnsi="宋体" w:eastAsia="宋体" w:cs="宋体"/>
          <w:color w:val="000000"/>
          <w:sz w:val="21"/>
          <w:szCs w:val="21"/>
        </w:rPr>
        <w:t>“</w:t>
      </w:r>
      <w:r>
        <w:rPr>
          <w:rFonts w:hint="eastAsia" w:ascii="宋体" w:hAnsi="宋体" w:eastAsia="宋体" w:cs="宋体"/>
          <w:color w:val="000000"/>
          <w:sz w:val="21"/>
          <w:szCs w:val="21"/>
        </w:rPr>
        <w:t>质子</w:t>
      </w:r>
      <w:r>
        <w:rPr>
          <w:rFonts w:hint="eastAsia" w:ascii="宋体" w:hAnsi="宋体" w:eastAsia="宋体" w:cs="宋体"/>
          <w:color w:val="000000"/>
          <w:sz w:val="21"/>
          <w:szCs w:val="21"/>
        </w:rPr>
        <w:t>-</w:t>
      </w:r>
      <w:r>
        <w:rPr>
          <w:rFonts w:hint="eastAsia" w:ascii="宋体" w:hAnsi="宋体" w:eastAsia="宋体" w:cs="宋体"/>
          <w:color w:val="000000"/>
          <w:sz w:val="21"/>
          <w:szCs w:val="21"/>
        </w:rPr>
        <w:t>蔗糖共转运蛋白</w:t>
      </w:r>
      <w:r>
        <w:rPr>
          <w:rFonts w:hint="eastAsia" w:ascii="宋体" w:hAnsi="宋体" w:eastAsia="宋体" w:cs="宋体"/>
          <w:color w:val="000000"/>
          <w:sz w:val="21"/>
          <w:szCs w:val="21"/>
        </w:rPr>
        <w:t>”</w:t>
      </w:r>
      <w:r>
        <w:rPr>
          <w:rFonts w:hint="eastAsia" w:ascii="宋体" w:hAnsi="宋体" w:eastAsia="宋体" w:cs="宋体"/>
          <w:color w:val="000000"/>
          <w:sz w:val="21"/>
          <w:szCs w:val="21"/>
        </w:rPr>
        <w:t>能转运蔗糖和H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，说明载体蛋白不具有特异性</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B．抑制细胞呼吸不会影响H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和蔗糖的跨膜运输</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C．质子泵参与该植物细胞及其周围环境的pH调控</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D．H</w:t>
      </w:r>
      <w:r>
        <w:rPr>
          <w:rFonts w:hint="eastAsia" w:ascii="宋体" w:hAnsi="宋体" w:eastAsia="宋体" w:cs="宋体"/>
          <w:color w:val="000000"/>
          <w:sz w:val="21"/>
          <w:szCs w:val="21"/>
          <w:vertAlign w:val="superscript"/>
        </w:rPr>
        <w:t>+</w:t>
      </w:r>
      <w:r>
        <w:rPr>
          <w:rFonts w:hint="eastAsia" w:ascii="宋体" w:hAnsi="宋体" w:eastAsia="宋体" w:cs="宋体"/>
          <w:color w:val="000000"/>
          <w:sz w:val="21"/>
          <w:szCs w:val="21"/>
        </w:rPr>
        <w:t>和蔗糖通过</w:t>
      </w:r>
      <w:r>
        <w:rPr>
          <w:rFonts w:hint="eastAsia" w:ascii="宋体" w:hAnsi="宋体" w:eastAsia="宋体" w:cs="宋体"/>
          <w:color w:val="000000"/>
          <w:sz w:val="21"/>
          <w:szCs w:val="21"/>
        </w:rPr>
        <w:t>“</w:t>
      </w:r>
      <w:r>
        <w:rPr>
          <w:rFonts w:hint="eastAsia" w:ascii="宋体" w:hAnsi="宋体" w:eastAsia="宋体" w:cs="宋体"/>
          <w:color w:val="000000"/>
          <w:sz w:val="21"/>
          <w:szCs w:val="21"/>
        </w:rPr>
        <w:t>质子</w:t>
      </w:r>
      <w:r>
        <w:rPr>
          <w:rFonts w:hint="eastAsia" w:ascii="宋体" w:hAnsi="宋体" w:eastAsia="宋体" w:cs="宋体"/>
          <w:color w:val="000000"/>
          <w:sz w:val="21"/>
          <w:szCs w:val="21"/>
        </w:rPr>
        <w:t>-</w:t>
      </w:r>
      <w:r>
        <w:rPr>
          <w:rFonts w:hint="eastAsia" w:ascii="宋体" w:hAnsi="宋体" w:eastAsia="宋体" w:cs="宋体"/>
          <w:color w:val="000000"/>
          <w:sz w:val="21"/>
          <w:szCs w:val="21"/>
        </w:rPr>
        <w:t>蔗糖共转运蛋白</w:t>
      </w:r>
      <w:r>
        <w:rPr>
          <w:rFonts w:hint="eastAsia" w:ascii="宋体" w:hAnsi="宋体" w:eastAsia="宋体" w:cs="宋体"/>
          <w:color w:val="000000"/>
          <w:sz w:val="21"/>
          <w:szCs w:val="21"/>
        </w:rPr>
        <w:t>”</w:t>
      </w:r>
      <w:r>
        <w:rPr>
          <w:rFonts w:hint="eastAsia" w:ascii="宋体" w:hAnsi="宋体" w:eastAsia="宋体" w:cs="宋体"/>
          <w:color w:val="000000"/>
          <w:sz w:val="21"/>
          <w:szCs w:val="21"/>
        </w:rPr>
        <w:t>进入细胞的过程与ATP无关</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anchor distT="0" distB="0" distL="114300" distR="114300" simplePos="0" relativeHeight="251664384" behindDoc="0" locked="0" layoutInCell="1" allowOverlap="1">
            <wp:simplePos x="0" y="0"/>
            <wp:positionH relativeFrom="column">
              <wp:posOffset>4826635</wp:posOffset>
            </wp:positionH>
            <wp:positionV relativeFrom="paragraph">
              <wp:posOffset>240030</wp:posOffset>
            </wp:positionV>
            <wp:extent cx="1352550" cy="1095375"/>
            <wp:effectExtent l="0" t="0" r="0" b="9525"/>
            <wp:wrapSquare wrapText="bothSides"/>
            <wp:docPr id="5" name="图片 3" descr="HWOCRTEMP_ROC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HWOCRTEMP_ROC60"/>
                    <pic:cNvPicPr>
                      <a:picLocks noChangeAspect="1"/>
                    </pic:cNvPicPr>
                  </pic:nvPicPr>
                  <pic:blipFill>
                    <a:blip r:embed="rId9"/>
                    <a:stretch>
                      <a:fillRect/>
                    </a:stretch>
                  </pic:blipFill>
                  <pic:spPr>
                    <a:xfrm>
                      <a:off x="0" y="0"/>
                      <a:ext cx="1352550" cy="1095375"/>
                    </a:xfrm>
                    <a:prstGeom prst="rect">
                      <a:avLst/>
                    </a:prstGeom>
                    <a:noFill/>
                    <a:ln>
                      <a:noFill/>
                    </a:ln>
                  </pic:spPr>
                </pic:pic>
              </a:graphicData>
            </a:graphic>
          </wp:anchor>
        </w:drawing>
      </w:r>
      <w:r>
        <w:rPr>
          <w:rFonts w:hint="eastAsia" w:ascii="宋体" w:hAnsi="宋体" w:eastAsia="宋体" w:cs="宋体"/>
          <w:b/>
          <w:bCs/>
          <w:color w:val="000000"/>
          <w:sz w:val="21"/>
          <w:szCs w:val="21"/>
        </w:rPr>
        <w:t>14．</w:t>
      </w:r>
      <w:r>
        <w:rPr>
          <w:rFonts w:hint="eastAsia" w:ascii="宋体" w:hAnsi="宋体" w:eastAsia="宋体" w:cs="宋体"/>
          <w:color w:val="000000"/>
          <w:sz w:val="21"/>
          <w:szCs w:val="21"/>
        </w:rPr>
        <w:t>某高等动物（2n</w:t>
      </w:r>
      <w:r>
        <w:rPr>
          <w:rFonts w:hint="eastAsia" w:ascii="宋体" w:hAnsi="宋体" w:eastAsia="宋体" w:cs="宋体"/>
          <w:color w:val="000000"/>
          <w:sz w:val="21"/>
          <w:szCs w:val="21"/>
        </w:rPr>
        <w:t>=</w:t>
      </w:r>
      <w:r>
        <w:rPr>
          <w:rFonts w:hint="eastAsia" w:ascii="宋体" w:hAnsi="宋体" w:eastAsia="宋体" w:cs="宋体"/>
          <w:color w:val="000000"/>
          <w:sz w:val="21"/>
          <w:szCs w:val="21"/>
        </w:rPr>
        <w:t>6）雄性个体的基因型为AaBb，将精原细胞放入含</w:t>
      </w:r>
      <w:r>
        <w:rPr>
          <w:rFonts w:hint="eastAsia" w:ascii="宋体" w:hAnsi="宋体" w:eastAsia="宋体" w:cs="宋体"/>
          <w:color w:val="000000"/>
          <w:sz w:val="21"/>
          <w:szCs w:val="21"/>
          <w:vertAlign w:val="superscript"/>
        </w:rPr>
        <w:t>32</w:t>
      </w:r>
      <w:r>
        <w:rPr>
          <w:rFonts w:hint="eastAsia" w:ascii="宋体" w:hAnsi="宋体" w:eastAsia="宋体" w:cs="宋体"/>
          <w:color w:val="000000"/>
          <w:sz w:val="21"/>
          <w:szCs w:val="21"/>
        </w:rPr>
        <w:t>P的培养液中离体培养，分裂过程中某细胞的示意图如图所示。据图分析，正确的是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A．该细胞中DNA数与染色体数的比值等于2</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B．形成该细胞过程中最多可有6个四分体</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w:t>
      </w:r>
      <w:r>
        <w:rPr>
          <w:rFonts w:hint="eastAsia" w:ascii="宋体" w:hAnsi="宋体" w:eastAsia="宋体" w:cs="宋体"/>
          <w:color w:val="000000"/>
          <w:sz w:val="21"/>
          <w:szCs w:val="21"/>
        </w:rPr>
        <w:t>一</w:t>
      </w:r>
      <w:r>
        <w:rPr>
          <w:rFonts w:hint="eastAsia" w:ascii="宋体" w:hAnsi="宋体" w:eastAsia="宋体" w:cs="宋体"/>
          <w:color w:val="000000"/>
          <w:sz w:val="21"/>
          <w:szCs w:val="21"/>
        </w:rPr>
        <w:t>个精原细胞产生的子细胞中含</w:t>
      </w:r>
      <w:r>
        <w:rPr>
          <w:rFonts w:hint="eastAsia" w:ascii="宋体" w:hAnsi="宋体" w:eastAsia="宋体" w:cs="宋体"/>
          <w:color w:val="000000"/>
          <w:sz w:val="21"/>
          <w:szCs w:val="21"/>
          <w:vertAlign w:val="superscript"/>
        </w:rPr>
        <w:t>32</w:t>
      </w:r>
      <w:r>
        <w:rPr>
          <w:rFonts w:hint="eastAsia" w:ascii="宋体" w:hAnsi="宋体" w:eastAsia="宋体" w:cs="宋体"/>
          <w:color w:val="000000"/>
          <w:sz w:val="21"/>
          <w:szCs w:val="21"/>
        </w:rPr>
        <w:t>P的染色体所占的比例为100%</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D．若一个精原细胞经过减数分裂产生了3种精子，则可能是发生了基因突变或</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非姐妹染色单体间的互换</w:t>
      </w:r>
    </w:p>
    <w:p>
      <w:pPr>
        <w:keepNext w:val="0"/>
        <w:keepLines w:val="0"/>
        <w:pageBreakBefore w:val="0"/>
        <w:widowControl w:val="0"/>
        <w:numPr>
          <w:numId w:val="0"/>
        </w:numPr>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cs="宋体"/>
          <w:b/>
          <w:bCs/>
          <w:color w:val="000000"/>
          <w:sz w:val="21"/>
          <w:szCs w:val="21"/>
          <w:lang w:val="en-US" w:eastAsia="zh-CN"/>
        </w:rPr>
        <w:t>15.</w:t>
      </w:r>
      <w:r>
        <w:rPr>
          <w:rFonts w:hint="eastAsia" w:ascii="宋体" w:hAnsi="宋体" w:eastAsia="宋体" w:cs="宋体"/>
          <w:color w:val="000000"/>
          <w:sz w:val="21"/>
          <w:szCs w:val="21"/>
        </w:rPr>
        <w:t>某种实验小鼠的体色受常染色体上的一对基因控制，且黄色(B)对黑色(b)为显性。将纯种黄色体毛的小鼠与纯</w:t>
      </w:r>
    </w:p>
    <w:p>
      <w:pPr>
        <w:keepNext w:val="0"/>
        <w:keepLines w:val="0"/>
        <w:pageBreakBefore w:val="0"/>
        <w:widowControl w:val="0"/>
        <w:numPr>
          <w:numId w:val="0"/>
        </w:numPr>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种黑色体毛的小鼠杂交，F</w:t>
      </w:r>
      <w:r>
        <w:rPr>
          <w:rFonts w:hint="eastAsia" w:ascii="宋体" w:hAnsi="宋体" w:eastAsia="宋体" w:cs="宋体"/>
          <w:color w:val="000000"/>
          <w:sz w:val="21"/>
          <w:szCs w:val="21"/>
          <w:vertAlign w:val="subscript"/>
        </w:rPr>
        <w:t>1</w:t>
      </w:r>
      <w:r>
        <w:rPr>
          <w:rFonts w:hint="eastAsia" w:ascii="宋体" w:hAnsi="宋体" w:eastAsia="宋体" w:cs="宋体"/>
          <w:color w:val="000000"/>
          <w:sz w:val="21"/>
          <w:szCs w:val="21"/>
        </w:rPr>
        <w:t>小鼠表现出不同的毛色：介于黄色和黑色之间的一系列过渡类型。研究表明，B基因的某段序列具有多个可发生甲基化修饰的位点，其甲基化程度越高，B基因的表达水平越低。下列叙述错误的是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A．F</w:t>
      </w:r>
      <w:r>
        <w:rPr>
          <w:rFonts w:hint="eastAsia" w:ascii="宋体" w:hAnsi="宋体" w:eastAsia="宋体" w:cs="宋体"/>
          <w:color w:val="000000"/>
          <w:sz w:val="21"/>
          <w:szCs w:val="21"/>
          <w:vertAlign w:val="subscript"/>
        </w:rPr>
        <w:t>1</w:t>
      </w:r>
      <w:r>
        <w:rPr>
          <w:rFonts w:hint="eastAsia" w:ascii="宋体" w:hAnsi="宋体" w:eastAsia="宋体" w:cs="宋体"/>
          <w:color w:val="000000"/>
          <w:sz w:val="21"/>
          <w:szCs w:val="21"/>
        </w:rPr>
        <w:t>小鼠的基因型都是Bb</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B．此实验表明：基因型与表现型之间的关系，并不是简单的一一对应关系</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C．甲基化修饰改变了B基因的碱基对排列顺序，从而导致性状改变</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D．发生甲基化修饰的位点越多，B基因的表达受到的抑制越明显，体毛的颜色越深</w:t>
      </w:r>
    </w:p>
    <w:p>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16.</w:t>
      </w:r>
      <w:r>
        <w:rPr>
          <w:rFonts w:hint="eastAsia" w:ascii="宋体" w:hAnsi="宋体" w:eastAsia="宋体" w:cs="宋体"/>
          <w:sz w:val="21"/>
          <w:szCs w:val="21"/>
        </w:rPr>
        <w:t>下丘脑对肾上腺的调节方式如下图，下列说法</w:t>
      </w:r>
      <w:r>
        <w:rPr>
          <w:rFonts w:hint="eastAsia" w:ascii="宋体" w:hAnsi="宋体" w:eastAsia="宋体" w:cs="宋体"/>
          <w:sz w:val="21"/>
          <w:szCs w:val="21"/>
          <w:u w:val="none"/>
        </w:rPr>
        <w:t>不正确</w:t>
      </w:r>
      <w:r>
        <w:rPr>
          <w:rFonts w:hint="eastAsia" w:ascii="宋体" w:hAnsi="宋体" w:eastAsia="宋体" w:cs="宋体"/>
          <w:sz w:val="21"/>
          <w:szCs w:val="21"/>
        </w:rPr>
        <w:t>的是</w:t>
      </w:r>
    </w:p>
    <w:p>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drawing>
          <wp:anchor distT="0" distB="0" distL="114300" distR="114300" simplePos="0" relativeHeight="251665408" behindDoc="0" locked="0" layoutInCell="1" allowOverlap="1">
            <wp:simplePos x="0" y="0"/>
            <wp:positionH relativeFrom="column">
              <wp:posOffset>3071495</wp:posOffset>
            </wp:positionH>
            <wp:positionV relativeFrom="paragraph">
              <wp:posOffset>125095</wp:posOffset>
            </wp:positionV>
            <wp:extent cx="3492500" cy="1086485"/>
            <wp:effectExtent l="0" t="0" r="12700" b="18415"/>
            <wp:wrapSquare wrapText="bothSides"/>
            <wp:docPr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icPr>
                  <pic:blipFill>
                    <a:blip r:embed="rId10"/>
                    <a:stretch>
                      <a:fillRect/>
                    </a:stretch>
                  </pic:blipFill>
                  <pic:spPr>
                    <a:xfrm>
                      <a:off x="0" y="0"/>
                      <a:ext cx="3492500" cy="1086485"/>
                    </a:xfrm>
                    <a:prstGeom prst="rect">
                      <a:avLst/>
                    </a:prstGeom>
                  </pic:spPr>
                </pic:pic>
              </a:graphicData>
            </a:graphic>
          </wp:anchor>
        </w:drawing>
      </w:r>
      <w:r>
        <w:rPr>
          <w:rFonts w:hint="eastAsia" w:ascii="宋体" w:hAnsi="宋体" w:eastAsia="宋体" w:cs="宋体"/>
          <w:sz w:val="21"/>
          <w:szCs w:val="21"/>
        </w:rPr>
        <w:t>A．激素Ⅱ是促肾上腺皮质激素，过程A的调节机制是反馈调节</w:t>
      </w:r>
    </w:p>
    <w:p>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B．糖皮质激素能抑制胰岛B细胞的分泌，则糖皮质激素与胰高血糖素有协同作用</w:t>
      </w:r>
    </w:p>
    <w:p>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C．内脏神经产生的局部电流传至肾上腺髓质细胞，导致肾上腺素分泌增多</w:t>
      </w:r>
    </w:p>
    <w:p>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D．肾上腺素的分泌调节与作用效果可以说明神经调节与体液调节是密不可分的</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二、非选择题：本题共5题，共60分。</w:t>
      </w:r>
    </w:p>
    <w:p>
      <w:pPr>
        <w:keepNext w:val="0"/>
        <w:keepLines w:val="0"/>
        <w:pageBreakBefore w:val="0"/>
        <w:widowControl w:val="0"/>
        <w:kinsoku/>
        <w:wordWrap/>
        <w:overflowPunct/>
        <w:topLinePunct w:val="0"/>
        <w:bidi w:val="0"/>
        <w:adjustRightInd/>
        <w:snapToGrid/>
        <w:spacing w:line="240" w:lineRule="auto"/>
        <w:ind w:left="420" w:hanging="422" w:hanging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17．（12分）</w:t>
      </w:r>
      <w:r>
        <w:rPr>
          <w:rFonts w:hint="eastAsia" w:ascii="宋体" w:hAnsi="宋体" w:eastAsia="宋体" w:cs="宋体"/>
          <w:color w:val="000000"/>
          <w:sz w:val="21"/>
          <w:szCs w:val="21"/>
        </w:rPr>
        <w:t>充满智慧的我国劳动人民积累了丰富的生产经验，如俗话说的“玉米带大豆，十年九不漏”。在传统间</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作、套种基础上，近年我国探索并推广玉米大豆带状复合种植技术，通过大豆、玉米高矮作物空间错位搭配，最大</w:t>
      </w:r>
    </w:p>
    <w:p>
      <w:pPr>
        <w:keepNext w:val="0"/>
        <w:keepLines w:val="0"/>
        <w:pageBreakBefore w:val="0"/>
        <w:widowControl w:val="0"/>
        <w:kinsoku/>
        <w:wordWrap/>
        <w:overflowPunct/>
        <w:topLinePunct w:val="0"/>
        <w:bidi w:val="0"/>
        <w:adjustRightInd/>
        <w:snapToGrid/>
        <w:spacing w:line="240" w:lineRule="auto"/>
        <w:ind w:left="420" w:hanging="420" w:hanging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限度发挥土地潜力，助农增产增收。请回答：</w:t>
      </w:r>
    </w:p>
    <w:p>
      <w:pPr>
        <w:keepNext w:val="0"/>
        <w:keepLines w:val="0"/>
        <w:pageBreakBefore w:val="0"/>
        <w:widowControl w:val="0"/>
        <w:kinsoku/>
        <w:wordWrap/>
        <w:overflowPunct/>
        <w:topLinePunct w:val="0"/>
        <w:autoSpaceDE/>
        <w:autoSpaceDN/>
        <w:bidi w:val="0"/>
        <w:adjustRightInd/>
        <w:snapToGrid/>
        <w:spacing w:line="36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(1)</w:t>
      </w:r>
      <w:r>
        <w:rPr>
          <w:rFonts w:hint="eastAsia" w:ascii="宋体" w:hAnsi="宋体" w:eastAsia="宋体" w:cs="宋体"/>
          <w:color w:val="000000"/>
          <w:sz w:val="21"/>
          <w:szCs w:val="21"/>
        </w:rPr>
        <w:t>大豆根系中的根瘤菌具有良好的</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效果，提升土壤的肥力，降低化肥使用成本。玉米吸收土壤中的硅较大豆多，而大豆吸收土壤中的钙较玉米多，玉米和大豆的根系吸收元素的差异与细胞膜上的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直接有关。</w:t>
      </w:r>
    </w:p>
    <w:p>
      <w:pPr>
        <w:keepNext w:val="0"/>
        <w:keepLines w:val="0"/>
        <w:pageBreakBefore w:val="0"/>
        <w:widowControl w:val="0"/>
        <w:kinsoku/>
        <w:wordWrap/>
        <w:overflowPunct/>
        <w:topLinePunct w:val="0"/>
        <w:autoSpaceDE/>
        <w:autoSpaceDN/>
        <w:bidi w:val="0"/>
        <w:adjustRightInd/>
        <w:snapToGrid/>
        <w:spacing w:line="36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(2)</w:t>
      </w:r>
      <w:r>
        <w:rPr>
          <w:rFonts w:hint="eastAsia" w:ascii="宋体" w:hAnsi="宋体" w:eastAsia="宋体" w:cs="宋体"/>
          <w:color w:val="000000"/>
          <w:sz w:val="21"/>
          <w:szCs w:val="21"/>
        </w:rPr>
        <w:t>玉米大豆带状复合种植技术能增产增收的原因之一是充分利用边行优势（大田种植时，边行作物的生长发育比中间行作物表现好），请分析边行优势出现的原因</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(3)</w:t>
      </w:r>
      <w:r>
        <w:rPr>
          <w:rFonts w:hint="eastAsia" w:ascii="宋体" w:hAnsi="宋体" w:eastAsia="宋体" w:cs="宋体"/>
          <w:color w:val="000000"/>
          <w:sz w:val="24"/>
          <w:szCs w:val="24"/>
        </w:rPr>
        <w:t>C</w:t>
      </w:r>
      <w:r>
        <w:rPr>
          <w:rFonts w:hint="eastAsia" w:ascii="宋体" w:hAnsi="宋体" w:eastAsia="宋体" w:cs="宋体"/>
          <w:color w:val="000000"/>
          <w:sz w:val="24"/>
          <w:szCs w:val="24"/>
          <w:vertAlign w:val="subscript"/>
        </w:rPr>
        <w:t>3</w:t>
      </w:r>
      <w:r>
        <w:rPr>
          <w:rFonts w:hint="eastAsia" w:ascii="宋体" w:hAnsi="宋体" w:eastAsia="宋体" w:cs="宋体"/>
          <w:color w:val="000000"/>
          <w:sz w:val="21"/>
          <w:szCs w:val="21"/>
        </w:rPr>
        <w:t>植物与</w:t>
      </w:r>
      <w:r>
        <w:rPr>
          <w:rFonts w:hint="eastAsia" w:ascii="宋体" w:hAnsi="宋体" w:eastAsia="宋体" w:cs="宋体"/>
          <w:color w:val="000000"/>
          <w:sz w:val="24"/>
          <w:szCs w:val="24"/>
        </w:rPr>
        <w:t>C</w:t>
      </w:r>
      <w:r>
        <w:rPr>
          <w:rFonts w:hint="eastAsia" w:ascii="宋体" w:hAnsi="宋体" w:eastAsia="宋体" w:cs="宋体"/>
          <w:color w:val="000000"/>
          <w:sz w:val="21"/>
          <w:szCs w:val="21"/>
          <w:vertAlign w:val="subscript"/>
        </w:rPr>
        <w:t>4</w:t>
      </w:r>
      <w:r>
        <w:rPr>
          <w:rFonts w:hint="eastAsia" w:ascii="宋体" w:hAnsi="宋体" w:eastAsia="宋体" w:cs="宋体"/>
          <w:color w:val="000000"/>
          <w:sz w:val="21"/>
          <w:szCs w:val="21"/>
        </w:rPr>
        <w:t>植物在光、水、养分等资源利用上存在竞争和互补效应，该复合种植技术充分利用了上述特点。分析下图可知</w:t>
      </w:r>
      <w:r>
        <w:rPr>
          <w:rFonts w:hint="eastAsia" w:ascii="宋体" w:hAnsi="宋体" w:eastAsia="宋体" w:cs="宋体"/>
          <w:color w:val="000000"/>
          <w:sz w:val="24"/>
          <w:szCs w:val="24"/>
        </w:rPr>
        <w:t>C</w:t>
      </w:r>
      <w:r>
        <w:rPr>
          <w:rFonts w:hint="eastAsia" w:ascii="宋体" w:hAnsi="宋体" w:eastAsia="宋体" w:cs="宋体"/>
          <w:color w:val="000000"/>
          <w:sz w:val="24"/>
          <w:szCs w:val="24"/>
          <w:vertAlign w:val="subscript"/>
        </w:rPr>
        <w:t>4</w:t>
      </w:r>
      <w:r>
        <w:rPr>
          <w:rFonts w:hint="eastAsia" w:ascii="宋体" w:hAnsi="宋体" w:eastAsia="宋体" w:cs="宋体"/>
          <w:color w:val="000000"/>
          <w:sz w:val="21"/>
          <w:szCs w:val="21"/>
        </w:rPr>
        <w:t>植物固定CO</w:t>
      </w:r>
      <w:r>
        <w:rPr>
          <w:rFonts w:hint="eastAsia" w:ascii="宋体" w:hAnsi="宋体" w:eastAsia="宋体" w:cs="宋体"/>
          <w:color w:val="000000"/>
          <w:sz w:val="21"/>
          <w:szCs w:val="21"/>
          <w:vertAlign w:val="subscript"/>
        </w:rPr>
        <w:t>2</w:t>
      </w:r>
      <w:r>
        <w:rPr>
          <w:rFonts w:hint="eastAsia" w:ascii="宋体" w:hAnsi="宋体" w:eastAsia="宋体" w:cs="宋体"/>
          <w:color w:val="000000"/>
          <w:sz w:val="21"/>
          <w:szCs w:val="21"/>
        </w:rPr>
        <w:t>的反应由PEP羧化酶催化，PEP羧化酶的作用机理是</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。PEP羧化酶对CO</w:t>
      </w:r>
      <w:r>
        <w:rPr>
          <w:rFonts w:hint="eastAsia" w:ascii="宋体" w:hAnsi="宋体" w:eastAsia="宋体" w:cs="宋体"/>
          <w:color w:val="000000"/>
          <w:sz w:val="21"/>
          <w:szCs w:val="21"/>
          <w:vertAlign w:val="subscript"/>
        </w:rPr>
        <w:t>2</w:t>
      </w:r>
      <w:r>
        <w:rPr>
          <w:rFonts w:hint="eastAsia" w:ascii="宋体" w:hAnsi="宋体" w:eastAsia="宋体" w:cs="宋体"/>
          <w:color w:val="000000"/>
          <w:sz w:val="21"/>
          <w:szCs w:val="21"/>
        </w:rPr>
        <w:t>的亲和力比Rubisco（一种催化CO</w:t>
      </w:r>
      <w:r>
        <w:rPr>
          <w:rFonts w:hint="eastAsia" w:ascii="宋体" w:hAnsi="宋体" w:eastAsia="宋体" w:cs="宋体"/>
          <w:color w:val="000000"/>
          <w:sz w:val="21"/>
          <w:szCs w:val="21"/>
          <w:vertAlign w:val="subscript"/>
        </w:rPr>
        <w:t>2</w:t>
      </w:r>
      <w:r>
        <w:rPr>
          <w:rFonts w:hint="eastAsia" w:ascii="宋体" w:hAnsi="宋体" w:eastAsia="宋体" w:cs="宋体"/>
          <w:color w:val="000000"/>
          <w:sz w:val="21"/>
          <w:szCs w:val="21"/>
        </w:rPr>
        <w:t>固定的酶）更强，推测在干旱环境中</w:t>
      </w:r>
      <w:r>
        <w:rPr>
          <w:rFonts w:hint="eastAsia" w:ascii="宋体" w:hAnsi="宋体" w:eastAsia="宋体" w:cs="宋体"/>
          <w:color w:val="000000"/>
          <w:sz w:val="24"/>
          <w:szCs w:val="24"/>
        </w:rPr>
        <w:t>C</w:t>
      </w:r>
      <w:r>
        <w:rPr>
          <w:rFonts w:hint="eastAsia" w:ascii="宋体" w:hAnsi="宋体" w:eastAsia="宋体" w:cs="宋体"/>
          <w:color w:val="000000"/>
          <w:sz w:val="24"/>
          <w:szCs w:val="24"/>
          <w:vertAlign w:val="subscript"/>
        </w:rPr>
        <w:t>4</w:t>
      </w:r>
      <w:r>
        <w:rPr>
          <w:rFonts w:hint="eastAsia" w:ascii="宋体" w:hAnsi="宋体" w:eastAsia="宋体" w:cs="宋体"/>
          <w:color w:val="000000"/>
          <w:sz w:val="21"/>
          <w:szCs w:val="21"/>
        </w:rPr>
        <w:t>植物的生长比</w:t>
      </w:r>
      <w:r>
        <w:rPr>
          <w:rFonts w:hint="eastAsia" w:ascii="宋体" w:hAnsi="宋体" w:eastAsia="宋体" w:cs="宋体"/>
          <w:color w:val="000000"/>
          <w:sz w:val="24"/>
          <w:szCs w:val="24"/>
        </w:rPr>
        <w:t>C</w:t>
      </w:r>
      <w:r>
        <w:rPr>
          <w:rFonts w:hint="eastAsia" w:ascii="宋体" w:hAnsi="宋体" w:eastAsia="宋体" w:cs="宋体"/>
          <w:color w:val="000000"/>
          <w:sz w:val="24"/>
          <w:szCs w:val="24"/>
          <w:vertAlign w:val="subscript"/>
        </w:rPr>
        <w:t>3</w:t>
      </w:r>
      <w:r>
        <w:rPr>
          <w:rFonts w:hint="eastAsia" w:ascii="宋体" w:hAnsi="宋体" w:eastAsia="宋体" w:cs="宋体"/>
          <w:color w:val="000000"/>
          <w:sz w:val="21"/>
          <w:szCs w:val="21"/>
        </w:rPr>
        <w:t>植物好的原因是</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anchor distT="0" distB="0" distL="114300" distR="114300" simplePos="0" relativeHeight="251666432" behindDoc="0" locked="0" layoutInCell="1" allowOverlap="1">
            <wp:simplePos x="0" y="0"/>
            <wp:positionH relativeFrom="column">
              <wp:posOffset>340360</wp:posOffset>
            </wp:positionH>
            <wp:positionV relativeFrom="paragraph">
              <wp:posOffset>128905</wp:posOffset>
            </wp:positionV>
            <wp:extent cx="5499100" cy="1066800"/>
            <wp:effectExtent l="0" t="0" r="6350" b="0"/>
            <wp:wrapSquare wrapText="bothSides"/>
            <wp:docPr id="6" name="图片 4" descr="HWOCRTEMP_ROC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HWOCRTEMP_ROC70"/>
                    <pic:cNvPicPr>
                      <a:picLocks noChangeAspect="1"/>
                    </pic:cNvPicPr>
                  </pic:nvPicPr>
                  <pic:blipFill>
                    <a:blip r:embed="rId11">
                      <a:lum bright="-6000" contrast="30000"/>
                    </a:blip>
                    <a:stretch>
                      <a:fillRect/>
                    </a:stretch>
                  </pic:blipFill>
                  <pic:spPr>
                    <a:xfrm>
                      <a:off x="0" y="0"/>
                      <a:ext cx="5499100" cy="1066800"/>
                    </a:xfrm>
                    <a:prstGeom prst="rect">
                      <a:avLst/>
                    </a:prstGeom>
                    <a:noFill/>
                    <a:ln>
                      <a:noFill/>
                    </a:ln>
                  </pic:spPr>
                </pic:pic>
              </a:graphicData>
            </a:graphic>
          </wp:anchor>
        </w:drawing>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bookmarkStart w:id="0" w:name="_GoBack"/>
      <w:bookmarkEnd w:id="0"/>
      <w:r>
        <w:rPr>
          <w:rFonts w:hint="eastAsia" w:ascii="宋体" w:hAnsi="宋体" w:eastAsia="宋体" w:cs="宋体"/>
          <w:color w:val="000000"/>
          <w:sz w:val="21"/>
          <w:szCs w:val="21"/>
        </w:rPr>
        <w:t>(4)有研究发现不同的带状复合种植模式对玉米和大豆单株干物质分配比率如下表，分析实验结果可知，</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种植模式下的玉米增产效果最好，此模式能提高玉米单株产量的原因是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tbl>
      <w:tblPr>
        <w:tblStyle w:val="2"/>
        <w:tblW w:w="0" w:type="auto"/>
        <w:tblInd w:w="15" w:type="dxa"/>
        <w:tblLayout w:type="fixed"/>
        <w:tblCellMar>
          <w:top w:w="0" w:type="dxa"/>
          <w:left w:w="0" w:type="dxa"/>
          <w:bottom w:w="0" w:type="dxa"/>
          <w:right w:w="0" w:type="dxa"/>
        </w:tblCellMar>
      </w:tblPr>
      <w:tblGrid>
        <w:gridCol w:w="1416"/>
        <w:gridCol w:w="1420"/>
        <w:gridCol w:w="1421"/>
        <w:gridCol w:w="1421"/>
        <w:gridCol w:w="1421"/>
        <w:gridCol w:w="1421"/>
      </w:tblGrid>
      <w:tr>
        <w:tblPrEx>
          <w:tblCellMar>
            <w:top w:w="0" w:type="dxa"/>
            <w:left w:w="0" w:type="dxa"/>
            <w:bottom w:w="0" w:type="dxa"/>
            <w:right w:w="0" w:type="dxa"/>
          </w:tblCellMar>
        </w:tblPrEx>
        <w:trPr>
          <w:trHeight w:val="30" w:hRule="atLeast"/>
        </w:trPr>
        <w:tc>
          <w:tcPr>
            <w:tcW w:w="1416" w:type="dxa"/>
            <w:tcBorders>
              <w:top w:val="single" w:color="auto" w:sz="12" w:space="0"/>
              <w:left w:val="single" w:color="auto" w:sz="12" w:space="0"/>
              <w:bottom w:val="nil"/>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1"/>
                <w:szCs w:val="21"/>
              </w:rPr>
            </w:pPr>
          </w:p>
        </w:tc>
        <w:tc>
          <w:tcPr>
            <w:tcW w:w="7104" w:type="dxa"/>
            <w:gridSpan w:val="5"/>
            <w:tcBorders>
              <w:top w:val="single" w:color="auto" w:sz="12"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干物质分配比率(%)</w:t>
            </w:r>
          </w:p>
        </w:tc>
      </w:tr>
      <w:tr>
        <w:tblPrEx>
          <w:tblCellMar>
            <w:top w:w="0" w:type="dxa"/>
            <w:left w:w="0" w:type="dxa"/>
            <w:bottom w:w="0" w:type="dxa"/>
            <w:right w:w="0" w:type="dxa"/>
          </w:tblCellMar>
        </w:tblPrEx>
        <w:trPr>
          <w:trHeight w:val="40" w:hRule="atLeast"/>
        </w:trPr>
        <w:tc>
          <w:tcPr>
            <w:tcW w:w="1416" w:type="dxa"/>
            <w:vMerge w:val="restart"/>
            <w:tcBorders>
              <w:top w:val="nil"/>
              <w:left w:val="single" w:color="auto" w:sz="12" w:space="0"/>
              <w:bottom w:val="nil"/>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种植模式</w:t>
            </w:r>
          </w:p>
        </w:tc>
        <w:tc>
          <w:tcPr>
            <w:tcW w:w="2841" w:type="dxa"/>
            <w:gridSpan w:val="2"/>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拔节期</w:t>
            </w:r>
          </w:p>
        </w:tc>
        <w:tc>
          <w:tcPr>
            <w:tcW w:w="4263" w:type="dxa"/>
            <w:gridSpan w:val="3"/>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灌浆期（玉米籽粒形成期）</w:t>
            </w:r>
          </w:p>
        </w:tc>
      </w:tr>
      <w:tr>
        <w:tblPrEx>
          <w:tblCellMar>
            <w:top w:w="0" w:type="dxa"/>
            <w:left w:w="0" w:type="dxa"/>
            <w:bottom w:w="0" w:type="dxa"/>
            <w:right w:w="0" w:type="dxa"/>
          </w:tblCellMar>
        </w:tblPrEx>
        <w:trPr>
          <w:trHeight w:val="40" w:hRule="atLeast"/>
        </w:trPr>
        <w:tc>
          <w:tcPr>
            <w:tcW w:w="1416" w:type="dxa"/>
            <w:vMerge w:val="continue"/>
            <w:tcBorders>
              <w:top w:val="nil"/>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1"/>
                <w:szCs w:val="21"/>
              </w:rPr>
            </w:pPr>
          </w:p>
        </w:tc>
        <w:tc>
          <w:tcPr>
            <w:tcW w:w="142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茎</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叶</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茎</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叶</w:t>
            </w:r>
          </w:p>
        </w:tc>
        <w:tc>
          <w:tcPr>
            <w:tcW w:w="1421"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穗</w:t>
            </w:r>
          </w:p>
        </w:tc>
      </w:tr>
      <w:tr>
        <w:tblPrEx>
          <w:tblCellMar>
            <w:top w:w="0" w:type="dxa"/>
            <w:left w:w="0" w:type="dxa"/>
            <w:bottom w:w="0" w:type="dxa"/>
            <w:right w:w="0" w:type="dxa"/>
          </w:tblCellMar>
        </w:tblPrEx>
        <w:trPr>
          <w:trHeight w:val="40" w:hRule="atLeast"/>
        </w:trPr>
        <w:tc>
          <w:tcPr>
            <w:tcW w:w="141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M</w:t>
            </w:r>
          </w:p>
        </w:tc>
        <w:tc>
          <w:tcPr>
            <w:tcW w:w="142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40. 05</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59. 95</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40. 25</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18. 58</w:t>
            </w:r>
          </w:p>
        </w:tc>
        <w:tc>
          <w:tcPr>
            <w:tcW w:w="1421"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41. 17</w:t>
            </w:r>
          </w:p>
        </w:tc>
      </w:tr>
      <w:tr>
        <w:tblPrEx>
          <w:tblCellMar>
            <w:top w:w="0" w:type="dxa"/>
            <w:left w:w="0" w:type="dxa"/>
            <w:bottom w:w="0" w:type="dxa"/>
            <w:right w:w="0" w:type="dxa"/>
          </w:tblCellMar>
        </w:tblPrEx>
        <w:trPr>
          <w:trHeight w:val="40" w:hRule="atLeast"/>
        </w:trPr>
        <w:tc>
          <w:tcPr>
            <w:tcW w:w="141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Ms2：2</w:t>
            </w:r>
          </w:p>
        </w:tc>
        <w:tc>
          <w:tcPr>
            <w:tcW w:w="142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41. 25</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58. 75</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31. 60</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15. 74</w:t>
            </w:r>
          </w:p>
        </w:tc>
        <w:tc>
          <w:tcPr>
            <w:tcW w:w="1421"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52. 66</w:t>
            </w:r>
          </w:p>
        </w:tc>
      </w:tr>
      <w:tr>
        <w:tblPrEx>
          <w:tblCellMar>
            <w:top w:w="0" w:type="dxa"/>
            <w:left w:w="0" w:type="dxa"/>
            <w:bottom w:w="0" w:type="dxa"/>
            <w:right w:w="0" w:type="dxa"/>
          </w:tblCellMar>
        </w:tblPrEx>
        <w:trPr>
          <w:trHeight w:val="40" w:hRule="atLeast"/>
        </w:trPr>
        <w:tc>
          <w:tcPr>
            <w:tcW w:w="141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Ms4：4</w:t>
            </w:r>
          </w:p>
        </w:tc>
        <w:tc>
          <w:tcPr>
            <w:tcW w:w="1420"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40. 57</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59. 42</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35. 55</w:t>
            </w:r>
          </w:p>
        </w:tc>
        <w:tc>
          <w:tcPr>
            <w:tcW w:w="1421"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13. 72</w:t>
            </w:r>
          </w:p>
        </w:tc>
        <w:tc>
          <w:tcPr>
            <w:tcW w:w="1421"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50. 73</w:t>
            </w:r>
          </w:p>
        </w:tc>
      </w:tr>
      <w:tr>
        <w:tblPrEx>
          <w:tblCellMar>
            <w:top w:w="0" w:type="dxa"/>
            <w:left w:w="0" w:type="dxa"/>
            <w:bottom w:w="0" w:type="dxa"/>
            <w:right w:w="0" w:type="dxa"/>
          </w:tblCellMar>
        </w:tblPrEx>
        <w:trPr>
          <w:trHeight w:val="40" w:hRule="atLeast"/>
        </w:trPr>
        <w:tc>
          <w:tcPr>
            <w:tcW w:w="1416" w:type="dxa"/>
            <w:tcBorders>
              <w:top w:val="single" w:color="auto" w:sz="8" w:space="0"/>
              <w:left w:val="single" w:color="auto" w:sz="12"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Ms6：6</w:t>
            </w:r>
          </w:p>
        </w:tc>
        <w:tc>
          <w:tcPr>
            <w:tcW w:w="1420"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41. 32</w:t>
            </w:r>
          </w:p>
        </w:tc>
        <w:tc>
          <w:tcPr>
            <w:tcW w:w="1421"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58. 68</w:t>
            </w:r>
          </w:p>
        </w:tc>
        <w:tc>
          <w:tcPr>
            <w:tcW w:w="1421"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32. 21</w:t>
            </w:r>
          </w:p>
        </w:tc>
        <w:tc>
          <w:tcPr>
            <w:tcW w:w="1421"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13. 57</w:t>
            </w:r>
          </w:p>
        </w:tc>
        <w:tc>
          <w:tcPr>
            <w:tcW w:w="1421" w:type="dxa"/>
            <w:tcBorders>
              <w:top w:val="single" w:color="auto" w:sz="8" w:space="0"/>
              <w:left w:val="single" w:color="auto" w:sz="8" w:space="0"/>
              <w:bottom w:val="single" w:color="auto" w:sz="12"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54. 22</w:t>
            </w:r>
          </w:p>
        </w:tc>
      </w:tr>
    </w:tbl>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说明：M（玉米单作），Ms2：2（2行玉米2行大豆间作），Ws4：4（4行玉米4行大豆间作），Ms6：6（6行玉米6行大豆间作）</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18．（12分）近年来发现，S蛋白和mTOR信号途径与癌症发生密切相关，科研人员展开相应研究。</w:t>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(1)与正常细胞相比，癌细胞能够无限增殖，可能因为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基因突变或过量表达，也可能是因为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基因突变而造成相应蛋白质活性减弱或失去活性，导致细胞分裂失去调控所致。</w:t>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(2)为研究S蛋白、mTOR信号途径在肿瘤发生过程中的调控关系，进行了如下实验。将皮下移植肿瘤的小鼠随机分为四组，定期测定肿瘤体积变化，各组处理及结果如下图（雷帕霉素是mTOR信号途径的抑制剂）。</w:t>
      </w:r>
    </w:p>
    <w:p>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inline distT="0" distB="0" distL="114300" distR="114300">
            <wp:extent cx="3065780" cy="1310640"/>
            <wp:effectExtent l="0" t="0" r="1270" b="3810"/>
            <wp:docPr id="7" name="图片 5" descr="HWOCRTEMP_RO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HWOCRTEMP_ROC90"/>
                    <pic:cNvPicPr>
                      <a:picLocks noChangeAspect="1"/>
                    </pic:cNvPicPr>
                  </pic:nvPicPr>
                  <pic:blipFill>
                    <a:blip r:embed="rId12"/>
                    <a:stretch>
                      <a:fillRect/>
                    </a:stretch>
                  </pic:blipFill>
                  <pic:spPr>
                    <a:xfrm>
                      <a:off x="0" y="0"/>
                      <a:ext cx="3065780" cy="131064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adjustRightInd/>
        <w:snapToGrid/>
        <w:spacing w:line="24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①1组为对照组，其处理是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ind w:firstLine="435"/>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②依据实验结果，推测S蛋白、mTOR信号途径在肿瘤发生过程中的调控关系机制是：</w:t>
      </w:r>
    </w:p>
    <w:p>
      <w:pPr>
        <w:keepNext w:val="0"/>
        <w:keepLines w:val="0"/>
        <w:pageBreakBefore w:val="0"/>
        <w:widowControl w:val="0"/>
        <w:kinsoku/>
        <w:wordWrap/>
        <w:overflowPunct/>
        <w:topLinePunct w:val="0"/>
        <w:bidi w:val="0"/>
        <w:adjustRightInd/>
        <w:snapToGrid/>
        <w:spacing w:line="240" w:lineRule="auto"/>
        <w:ind w:firstLine="435"/>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p>
    <w:p>
      <w:pPr>
        <w:keepNext w:val="0"/>
        <w:keepLines w:val="0"/>
        <w:pageBreakBefore w:val="0"/>
        <w:widowControl w:val="0"/>
        <w:kinsoku/>
        <w:wordWrap/>
        <w:overflowPunct/>
        <w:topLinePunct w:val="0"/>
        <w:bidi w:val="0"/>
        <w:adjustRightInd/>
        <w:snapToGrid/>
        <w:spacing w:line="240" w:lineRule="auto"/>
        <w:ind w:left="420" w:leftChars="50"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(3)依据S蛋白、mTOR信号途径在肿瘤发生过程中的调控关系，请列举2项该研究在肿瘤</w:t>
      </w:r>
    </w:p>
    <w:p>
      <w:pPr>
        <w:keepNext w:val="0"/>
        <w:keepLines w:val="0"/>
        <w:pageBreakBefore w:val="0"/>
        <w:widowControl w:val="0"/>
        <w:kinsoku/>
        <w:wordWrap/>
        <w:overflowPunct/>
        <w:topLinePunct w:val="0"/>
        <w:bidi w:val="0"/>
        <w:adjustRightInd/>
        <w:snapToGrid/>
        <w:spacing w:line="240" w:lineRule="auto"/>
        <w:ind w:firstLine="315" w:firstLine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药物开发方面的应用价值：</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ind w:left="315" w:hanging="315" w:hangingChars="1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19．（12分）根据实验目的选择恰当的实验材料，是实验成功的关键因素之一。洋葱是常用的实验材料，洋葱的不同部位可进行不同的实验。请回答下列问题：</w:t>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(1)在探究植物细胞的吸水与失水的实验中，实验材料一般取自紫色洋葱鳞片叶的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，原因是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在该实验中，取了3个洋葱（甲、乙、丙）的该部位材料制片，使用相同浓度的蔗糖溶液浸润相同时间后观察到：甲洋葱的细胞未发生变化，丙洋葱的细胞发生质壁分离的程度大于乙洋葱。推测实验前，三种细胞液浓度由小到大依次为</w:t>
      </w:r>
      <w:r>
        <w:rPr>
          <w:rFonts w:hint="eastAsia" w:ascii="宋体" w:hAnsi="宋体" w:eastAsia="宋体" w:cs="宋体"/>
          <w:color w:val="000000"/>
          <w:sz w:val="21"/>
          <w:szCs w:val="21"/>
          <w:u w:val="single"/>
        </w:rPr>
        <w:t xml:space="preserve">                                 </w:t>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科研人员从洋葱中提取了一种名为槲皮素的物质。为研究槲皮素在机体衰老过程中的抗氧化作用，研究人员选择了若干只健康小鼠和衰老模型小鼠进行了实验，部分实验结果如下表所示，其中空白组使用健康小展进行实验，其余各组使用模型鼠进行实验。已知维生素C具有抗氧化能力。</w:t>
      </w:r>
    </w:p>
    <w:tbl>
      <w:tblPr>
        <w:tblStyle w:val="2"/>
        <w:tblW w:w="7920" w:type="dxa"/>
        <w:tblInd w:w="375" w:type="dxa"/>
        <w:tblLayout w:type="fixed"/>
        <w:tblCellMar>
          <w:top w:w="0" w:type="dxa"/>
          <w:left w:w="0" w:type="dxa"/>
          <w:bottom w:w="0" w:type="dxa"/>
          <w:right w:w="0" w:type="dxa"/>
        </w:tblCellMar>
      </w:tblPr>
      <w:tblGrid>
        <w:gridCol w:w="2496"/>
        <w:gridCol w:w="2904"/>
        <w:gridCol w:w="2520"/>
      </w:tblGrid>
      <w:tr>
        <w:tblPrEx>
          <w:tblCellMar>
            <w:top w:w="0" w:type="dxa"/>
            <w:left w:w="0" w:type="dxa"/>
            <w:bottom w:w="0" w:type="dxa"/>
            <w:right w:w="0" w:type="dxa"/>
          </w:tblCellMar>
        </w:tblPrEx>
        <w:trPr>
          <w:trHeight w:val="30" w:hRule="atLeast"/>
        </w:trPr>
        <w:tc>
          <w:tcPr>
            <w:tcW w:w="2496" w:type="dxa"/>
            <w:tcBorders>
              <w:top w:val="single" w:color="auto" w:sz="12"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组别</w:t>
            </w:r>
          </w:p>
        </w:tc>
        <w:tc>
          <w:tcPr>
            <w:tcW w:w="2904" w:type="dxa"/>
            <w:tcBorders>
              <w:top w:val="single" w:color="auto" w:sz="12"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血清MDA含量/(nmol·mL-)</w:t>
            </w:r>
          </w:p>
        </w:tc>
        <w:tc>
          <w:tcPr>
            <w:tcW w:w="2520" w:type="dxa"/>
            <w:tcBorders>
              <w:top w:val="single" w:color="auto" w:sz="12"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血清SOD活力／(U·m)</w:t>
            </w:r>
          </w:p>
        </w:tc>
      </w:tr>
      <w:tr>
        <w:tblPrEx>
          <w:tblCellMar>
            <w:top w:w="0" w:type="dxa"/>
            <w:left w:w="0" w:type="dxa"/>
            <w:bottom w:w="0" w:type="dxa"/>
            <w:right w:w="0" w:type="dxa"/>
          </w:tblCellMar>
        </w:tblPrEx>
        <w:trPr>
          <w:trHeight w:val="321" w:hRule="atLeast"/>
        </w:trPr>
        <w:tc>
          <w:tcPr>
            <w:tcW w:w="249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空白组（生理盐水）</w:t>
            </w:r>
          </w:p>
        </w:tc>
        <w:tc>
          <w:tcPr>
            <w:tcW w:w="2904"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23. 16</w:t>
            </w:r>
          </w:p>
        </w:tc>
        <w:tc>
          <w:tcPr>
            <w:tcW w:w="252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336. 78</w:t>
            </w:r>
          </w:p>
        </w:tc>
      </w:tr>
      <w:tr>
        <w:tblPrEx>
          <w:tblCellMar>
            <w:top w:w="0" w:type="dxa"/>
            <w:left w:w="0" w:type="dxa"/>
            <w:bottom w:w="0" w:type="dxa"/>
            <w:right w:w="0" w:type="dxa"/>
          </w:tblCellMar>
        </w:tblPrEx>
        <w:trPr>
          <w:trHeight w:val="326" w:hRule="atLeast"/>
        </w:trPr>
        <w:tc>
          <w:tcPr>
            <w:tcW w:w="249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模型组（生理盐水）</w:t>
            </w:r>
          </w:p>
        </w:tc>
        <w:tc>
          <w:tcPr>
            <w:tcW w:w="2904"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34. 78</w:t>
            </w:r>
          </w:p>
        </w:tc>
        <w:tc>
          <w:tcPr>
            <w:tcW w:w="252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165. 52</w:t>
            </w:r>
          </w:p>
        </w:tc>
      </w:tr>
      <w:tr>
        <w:tblPrEx>
          <w:tblCellMar>
            <w:top w:w="0" w:type="dxa"/>
            <w:left w:w="0" w:type="dxa"/>
            <w:bottom w:w="0" w:type="dxa"/>
            <w:right w:w="0" w:type="dxa"/>
          </w:tblCellMar>
        </w:tblPrEx>
        <w:trPr>
          <w:trHeight w:val="321" w:hRule="atLeast"/>
        </w:trPr>
        <w:tc>
          <w:tcPr>
            <w:tcW w:w="249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维生素C组</w:t>
            </w:r>
          </w:p>
        </w:tc>
        <w:tc>
          <w:tcPr>
            <w:tcW w:w="2904"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28. 48</w:t>
            </w:r>
          </w:p>
        </w:tc>
        <w:tc>
          <w:tcPr>
            <w:tcW w:w="252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539. 42</w:t>
            </w:r>
          </w:p>
        </w:tc>
      </w:tr>
      <w:tr>
        <w:tblPrEx>
          <w:tblCellMar>
            <w:top w:w="0" w:type="dxa"/>
            <w:left w:w="0" w:type="dxa"/>
            <w:bottom w:w="0" w:type="dxa"/>
            <w:right w:w="0" w:type="dxa"/>
          </w:tblCellMar>
        </w:tblPrEx>
        <w:trPr>
          <w:trHeight w:val="321" w:hRule="atLeast"/>
        </w:trPr>
        <w:tc>
          <w:tcPr>
            <w:tcW w:w="249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洋葱槲皮素低剂量组</w:t>
            </w:r>
          </w:p>
        </w:tc>
        <w:tc>
          <w:tcPr>
            <w:tcW w:w="2904"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20. 59</w:t>
            </w:r>
          </w:p>
        </w:tc>
        <w:tc>
          <w:tcPr>
            <w:tcW w:w="252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475. 76</w:t>
            </w:r>
          </w:p>
        </w:tc>
      </w:tr>
      <w:tr>
        <w:tblPrEx>
          <w:tblCellMar>
            <w:top w:w="0" w:type="dxa"/>
            <w:left w:w="0" w:type="dxa"/>
            <w:bottom w:w="0" w:type="dxa"/>
            <w:right w:w="0" w:type="dxa"/>
          </w:tblCellMar>
        </w:tblPrEx>
        <w:trPr>
          <w:trHeight w:val="321" w:hRule="atLeast"/>
        </w:trPr>
        <w:tc>
          <w:tcPr>
            <w:tcW w:w="2496" w:type="dxa"/>
            <w:tcBorders>
              <w:top w:val="single" w:color="auto" w:sz="8" w:space="0"/>
              <w:left w:val="single" w:color="auto" w:sz="12"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洋葱槲皮素中剂量组</w:t>
            </w:r>
          </w:p>
        </w:tc>
        <w:tc>
          <w:tcPr>
            <w:tcW w:w="2904" w:type="dxa"/>
            <w:tcBorders>
              <w:top w:val="single" w:color="auto" w:sz="8" w:space="0"/>
              <w:left w:val="single" w:color="auto" w:sz="8" w:space="0"/>
              <w:bottom w:val="single" w:color="auto" w:sz="8"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18. 79</w:t>
            </w:r>
          </w:p>
        </w:tc>
        <w:tc>
          <w:tcPr>
            <w:tcW w:w="2520" w:type="dxa"/>
            <w:tcBorders>
              <w:top w:val="single" w:color="auto" w:sz="8" w:space="0"/>
              <w:left w:val="single" w:color="auto" w:sz="8" w:space="0"/>
              <w:bottom w:val="single" w:color="auto" w:sz="8"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544. 27</w:t>
            </w:r>
          </w:p>
        </w:tc>
      </w:tr>
      <w:tr>
        <w:tblPrEx>
          <w:tblCellMar>
            <w:top w:w="0" w:type="dxa"/>
            <w:left w:w="0" w:type="dxa"/>
            <w:bottom w:w="0" w:type="dxa"/>
            <w:right w:w="0" w:type="dxa"/>
          </w:tblCellMar>
        </w:tblPrEx>
        <w:trPr>
          <w:trHeight w:val="321" w:hRule="atLeast"/>
        </w:trPr>
        <w:tc>
          <w:tcPr>
            <w:tcW w:w="2496" w:type="dxa"/>
            <w:tcBorders>
              <w:top w:val="single" w:color="auto" w:sz="8" w:space="0"/>
              <w:left w:val="single" w:color="auto" w:sz="12"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洋葱槲皮素高剂量组</w:t>
            </w:r>
          </w:p>
        </w:tc>
        <w:tc>
          <w:tcPr>
            <w:tcW w:w="2904" w:type="dxa"/>
            <w:tcBorders>
              <w:top w:val="single" w:color="auto" w:sz="8" w:space="0"/>
              <w:left w:val="single" w:color="auto" w:sz="8" w:space="0"/>
              <w:bottom w:val="single" w:color="auto" w:sz="12" w:space="0"/>
              <w:right w:val="single" w:color="auto" w:sz="8"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17. 56</w:t>
            </w:r>
          </w:p>
        </w:tc>
        <w:tc>
          <w:tcPr>
            <w:tcW w:w="2520" w:type="dxa"/>
            <w:tcBorders>
              <w:top w:val="single" w:color="auto" w:sz="8" w:space="0"/>
              <w:left w:val="single" w:color="auto" w:sz="8" w:space="0"/>
              <w:bottom w:val="single" w:color="auto" w:sz="12" w:space="0"/>
              <w:right w:val="single" w:color="auto" w:sz="12" w:space="0"/>
            </w:tcBorders>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734. 63</w:t>
            </w:r>
          </w:p>
        </w:tc>
      </w:tr>
    </w:tbl>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注：MDA是丙二醛，SOD是超氧化物歧化酶</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①自由基会导致细胞衰老，与未衰老前相比，细胞衰老过程中细胞大小与细胞核大小的比值</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②衰老的机体内代谢产物丙二醛(MDA)增多，造成机体平衡被打乱，自由基堆积，加速衰老。而SOD（超氧化物歧化酶）能消除生物体在新陈代谢过程中产生的自由基等有害物质，起到抗氧化作用进而延缓衰老。据表分析，与空白组相比，模型组MDA含量和SOD活力变化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。槲皮素剂量对MDA含量、SOD活力的影响是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，分析实验结果可得出的实验结论是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20．（14分）如图表示甲乙两种单基因遗传病的遗传系谱图，基因分别用A、a和B、b表示。甲家系用限制酶l处理相关基因得到不同片段，乙家系用限制酶2处理相关基因得到另一些片段。然后分别将两家系中经限制酶切割后的DNA片段进行电泳，其电泳结果如图（数字代表碱基对的数目）。又知甲家系中无乙病致病基因，人群中患有甲病的概率是1/100。请据此作答：</w:t>
      </w:r>
    </w:p>
    <w:p>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inline distT="0" distB="0" distL="114300" distR="114300">
            <wp:extent cx="4211320" cy="1732280"/>
            <wp:effectExtent l="0" t="0" r="17780" b="1270"/>
            <wp:docPr id="8" name="图片 6" descr="HWOCRTEMP_ROC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HWOCRTEMP_ROC110"/>
                    <pic:cNvPicPr>
                      <a:picLocks noChangeAspect="1"/>
                    </pic:cNvPicPr>
                  </pic:nvPicPr>
                  <pic:blipFill>
                    <a:blip r:embed="rId13"/>
                    <a:stretch>
                      <a:fillRect/>
                    </a:stretch>
                  </pic:blipFill>
                  <pic:spPr>
                    <a:xfrm>
                      <a:off x="0" y="0"/>
                      <a:ext cx="4211320" cy="173228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(1)根据电泳结果，甲病的致病基因可能是正常基因发生碱基对的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，导致A基因所在DNA分子中限制酶1的识别序列</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（增加／减少）。</w:t>
      </w:r>
    </w:p>
    <w:p>
      <w:pPr>
        <w:keepNext w:val="0"/>
        <w:keepLines w:val="0"/>
        <w:pageBreakBefore w:val="0"/>
        <w:widowControl w:val="0"/>
        <w:kinsoku/>
        <w:wordWrap/>
        <w:overflowPunct/>
        <w:topLinePunct w:val="0"/>
        <w:bidi w:val="0"/>
        <w:adjustRightInd/>
        <w:snapToGrid/>
        <w:spacing w:line="240" w:lineRule="auto"/>
        <w:ind w:firstLine="105" w:firstLineChars="50"/>
        <w:jc w:val="distribute"/>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(2)甲病的遗传方式为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，乙病为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（显／隐）性疾病，致病基因肯定不位于</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（常染色体/X染色体非同源区段/X、Y染色体同源区段）。</w:t>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(3)甲乙两家系Ⅱ4（女）和Ⅱ8（正常男性）结为夫妇，Ⅱ8的基因型为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，生一个表现型正常孩子的概率是</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21．（10分）埃博拉病毒(EBV)是一种丝状单链RNA病毒，所引起的埃博拉出血热是当今世界上最致命的出血热，世界卫生组织将其列为对人类危害最严重的病毒之一。EBV与宿主细胞结合后，将核酸—蛋白复合体释放至细胞质，并通过如图所示途径进行增殖，图中①～④分别代表相关过程，依赖RNA的RNA聚合酶能催化以RNA为模板的转录过程。据图回答下列问题：</w:t>
      </w:r>
    </w:p>
    <w:p>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drawing>
          <wp:inline distT="0" distB="0" distL="114300" distR="114300">
            <wp:extent cx="4062730" cy="719455"/>
            <wp:effectExtent l="0" t="0" r="13970" b="4445"/>
            <wp:docPr id="9" name="图片 7" descr="HWOCRTEMP_ROC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HWOCRTEMP_ROC120"/>
                    <pic:cNvPicPr>
                      <a:picLocks noChangeAspect="1"/>
                    </pic:cNvPicPr>
                  </pic:nvPicPr>
                  <pic:blipFill>
                    <a:blip r:embed="rId14"/>
                    <a:stretch>
                      <a:fillRect/>
                    </a:stretch>
                  </pic:blipFill>
                  <pic:spPr>
                    <a:xfrm>
                      <a:off x="0" y="0"/>
                      <a:ext cx="4062730" cy="719455"/>
                    </a:xfrm>
                    <a:prstGeom prst="rect">
                      <a:avLst/>
                    </a:prstGeom>
                    <a:noFill/>
                    <a:ln>
                      <a:noFill/>
                    </a:ln>
                  </pic:spPr>
                </pic:pic>
              </a:graphicData>
            </a:graphic>
          </wp:inline>
        </w:drawing>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(1)请用文字+箭头的形式写出上述增殖过程中遗传信息的流向：</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(2)在②过程中，一条mRNA上相继结合多个核糖体的意义是：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(3)直接将EBV的（一）RNA注入人体细胞，</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（填“能”或“不能”）引起埃博拉出血热，请结合图示信息作出合理解释：</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ind w:firstLine="105" w:firstLineChars="5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(4)埃博拉病毒(EBV)呈纤维状，EBV衣壳外有包膜，包膜上有5种蛋白棘突（VP系列蛋白和GP蛋白），其中GP蛋白最为关键，能被宿主细胞强烈识别。以GP蛋白作为疫苗比利用毒性减弱的埃博拉病毒作疫苗更安全的原因是：</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bidi w:val="0"/>
        <w:adjustRightInd/>
        <w:snapToGrid/>
        <w:spacing w:line="240" w:lineRule="auto"/>
        <w:textAlignment w:val="auto"/>
        <w:rPr>
          <w:rFonts w:hint="eastAsia" w:ascii="宋体" w:hAnsi="宋体" w:eastAsia="宋体" w:cs="宋体"/>
          <w:sz w:val="21"/>
          <w:szCs w:val="21"/>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楷体">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9C7354"/>
    <w:multiLevelType w:val="singleLevel"/>
    <w:tmpl w:val="7B9C7354"/>
    <w:lvl w:ilvl="0" w:tentative="0">
      <w:start w:val="12"/>
      <w:numFmt w:val="decimal"/>
      <w:suff w:val="nothing"/>
      <w:lvlText w:val="%1．"/>
      <w:lvlJc w:val="left"/>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NzkxNjgxMDhjNGYyYmFlNjEzNDZhYjgzZmExMTUifQ=="/>
  </w:docVars>
  <w:rsids>
    <w:rsidRoot w:val="00000000"/>
    <w:rsid w:val="0D4F4AE4"/>
    <w:rsid w:val="18452548"/>
    <w:rsid w:val="248949B4"/>
    <w:rsid w:val="2CB61A5F"/>
    <w:rsid w:val="4CFB09F8"/>
    <w:rsid w:val="59305AC2"/>
    <w:rsid w:val="60432042"/>
    <w:rsid w:val="6A4B4173"/>
    <w:rsid w:val="6B7E5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5329</Words>
  <Characters>5763</Characters>
  <Lines>0</Lines>
  <Paragraphs>0</Paragraphs>
  <TotalTime>1</TotalTime>
  <ScaleCrop>false</ScaleCrop>
  <LinksUpToDate>false</LinksUpToDate>
  <CharactersWithSpaces>7115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2022-12-16T13:12:41Z</dcterms:created>
  <dc:creator>Administrator</dc:creator>
  <cp:lastModifiedBy>00夕</cp:lastModifiedBy>
  <dcterms:modified xsi:type="dcterms:W3CDTF">2022-12-16T14:06:45Z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B8350E1AB45E4623AEBDCD01477A07D1</vt:lpwstr>
  </property>
</Properties>
</file>