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1731C" w14:textId="646F7299" w:rsidR="00FB2073" w:rsidRDefault="00AC5ACD">
      <w:pPr>
        <w:spacing w:line="360" w:lineRule="auto"/>
        <w:jc w:val="center"/>
        <w:rPr>
          <w:rFonts w:ascii="宋体" w:eastAsia="宋体" w:hAnsi="宋体"/>
          <w:b/>
          <w:bCs/>
          <w:sz w:val="28"/>
          <w:szCs w:val="28"/>
        </w:rPr>
      </w:pPr>
      <w:r>
        <w:rPr>
          <w:rFonts w:ascii="宋体" w:eastAsia="宋体" w:hAnsi="宋体" w:hint="eastAsia"/>
          <w:b/>
          <w:bCs/>
          <w:sz w:val="28"/>
          <w:szCs w:val="28"/>
        </w:rPr>
        <w:t>读</w:t>
      </w:r>
      <w:r w:rsidR="00432949">
        <w:rPr>
          <w:rFonts w:ascii="宋体" w:eastAsia="宋体" w:hAnsi="宋体" w:hint="eastAsia"/>
          <w:b/>
          <w:bCs/>
          <w:sz w:val="28"/>
          <w:szCs w:val="28"/>
        </w:rPr>
        <w:t>《管子》</w:t>
      </w:r>
      <w:r>
        <w:rPr>
          <w:rFonts w:ascii="宋体" w:eastAsia="宋体" w:hAnsi="宋体" w:hint="eastAsia"/>
          <w:b/>
          <w:bCs/>
          <w:sz w:val="28"/>
          <w:szCs w:val="28"/>
        </w:rPr>
        <w:t>有感</w:t>
      </w:r>
    </w:p>
    <w:p w14:paraId="3ACBC35B" w14:textId="2CEF85EB" w:rsidR="00FB2073" w:rsidRDefault="00432949" w:rsidP="00AC5ACD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管仲，</w:t>
      </w:r>
      <w:r>
        <w:rPr>
          <w:rFonts w:ascii="宋体" w:eastAsia="宋体" w:hAnsi="宋体"/>
          <w:sz w:val="24"/>
          <w:szCs w:val="24"/>
        </w:rPr>
        <w:t>又</w:t>
      </w:r>
      <w:proofErr w:type="gramStart"/>
      <w:r>
        <w:rPr>
          <w:rFonts w:ascii="宋体" w:eastAsia="宋体" w:hAnsi="宋体"/>
          <w:sz w:val="24"/>
          <w:szCs w:val="24"/>
        </w:rPr>
        <w:t>称管敬仲</w:t>
      </w:r>
      <w:proofErr w:type="gramEnd"/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名夷吾，</w:t>
      </w:r>
      <w:r>
        <w:rPr>
          <w:rFonts w:ascii="宋体" w:eastAsia="宋体" w:hAnsi="宋体" w:hint="eastAsia"/>
          <w:sz w:val="24"/>
          <w:szCs w:val="24"/>
        </w:rPr>
        <w:t>我</w:t>
      </w:r>
      <w:r>
        <w:rPr>
          <w:rFonts w:ascii="宋体" w:eastAsia="宋体" w:hAnsi="宋体"/>
          <w:sz w:val="24"/>
          <w:szCs w:val="24"/>
        </w:rPr>
        <w:t>国</w:t>
      </w:r>
      <w:r w:rsidR="00400BEC">
        <w:rPr>
          <w:rFonts w:ascii="宋体" w:eastAsia="宋体" w:hAnsi="宋体"/>
          <w:sz w:val="24"/>
          <w:szCs w:val="24"/>
        </w:rPr>
        <w:t>春秋时期</w:t>
      </w:r>
      <w:r>
        <w:rPr>
          <w:rFonts w:ascii="宋体" w:eastAsia="宋体" w:hAnsi="宋体"/>
          <w:sz w:val="24"/>
          <w:szCs w:val="24"/>
        </w:rPr>
        <w:t>著名经济学家、哲学家、政治家、军事家</w:t>
      </w:r>
      <w:r w:rsidR="00400BEC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法家代表人物，</w:t>
      </w:r>
      <w:r>
        <w:rPr>
          <w:rFonts w:ascii="宋体" w:eastAsia="宋体" w:hAnsi="宋体" w:hint="eastAsia"/>
          <w:sz w:val="24"/>
          <w:szCs w:val="24"/>
        </w:rPr>
        <w:t>曾</w:t>
      </w:r>
      <w:r>
        <w:rPr>
          <w:rFonts w:ascii="宋体" w:eastAsia="宋体" w:hAnsi="宋体"/>
          <w:sz w:val="24"/>
          <w:szCs w:val="24"/>
        </w:rPr>
        <w:t>辅佐齐桓公成为春秋五霸之首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后人尊称</w:t>
      </w:r>
      <w:r>
        <w:rPr>
          <w:rFonts w:ascii="宋体" w:eastAsia="宋体" w:hAnsi="宋体" w:hint="eastAsia"/>
          <w:sz w:val="24"/>
          <w:szCs w:val="24"/>
        </w:rPr>
        <w:t>其</w:t>
      </w:r>
      <w:r>
        <w:rPr>
          <w:rFonts w:ascii="宋体" w:eastAsia="宋体" w:hAnsi="宋体"/>
          <w:sz w:val="24"/>
          <w:szCs w:val="24"/>
        </w:rPr>
        <w:t>为“管子”，</w:t>
      </w:r>
      <w:r>
        <w:rPr>
          <w:rFonts w:ascii="宋体" w:eastAsia="宋体" w:hAnsi="宋体" w:hint="eastAsia"/>
          <w:sz w:val="24"/>
          <w:szCs w:val="24"/>
        </w:rPr>
        <w:t>被</w:t>
      </w:r>
      <w:r>
        <w:rPr>
          <w:rFonts w:ascii="宋体" w:eastAsia="宋体" w:hAnsi="宋体"/>
          <w:sz w:val="24"/>
          <w:szCs w:val="24"/>
        </w:rPr>
        <w:t>誉为“法家先驱”</w:t>
      </w:r>
      <w:r>
        <w:rPr>
          <w:rFonts w:ascii="宋体" w:eastAsia="宋体" w:hAnsi="宋体" w:hint="eastAsia"/>
          <w:sz w:val="24"/>
          <w:szCs w:val="24"/>
        </w:rPr>
        <w:t>、</w:t>
      </w:r>
      <w:r>
        <w:rPr>
          <w:rFonts w:ascii="宋体" w:eastAsia="宋体" w:hAnsi="宋体"/>
          <w:sz w:val="24"/>
          <w:szCs w:val="24"/>
        </w:rPr>
        <w:t>“圣人之师”</w:t>
      </w:r>
      <w:r>
        <w:rPr>
          <w:rFonts w:ascii="宋体" w:eastAsia="宋体" w:hAnsi="宋体" w:hint="eastAsia"/>
          <w:sz w:val="24"/>
          <w:szCs w:val="24"/>
        </w:rPr>
        <w:t>、</w:t>
      </w:r>
      <w:r>
        <w:rPr>
          <w:rFonts w:ascii="宋体" w:eastAsia="宋体" w:hAnsi="宋体"/>
          <w:sz w:val="24"/>
          <w:szCs w:val="24"/>
        </w:rPr>
        <w:t>“华夏文明保护者”。</w:t>
      </w:r>
    </w:p>
    <w:p w14:paraId="36125420" w14:textId="77777777" w:rsidR="00FB2073" w:rsidRDefault="00432949">
      <w:pPr>
        <w:spacing w:line="360" w:lineRule="auto"/>
        <w:ind w:firstLine="43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通过《管子》中的思想可以知道，无论是古代还是现代，只要是以农立国，那么粮食问题，农民问题，土地问题，就始终应该是领导者关心的头等大事。“重农抑末”是《管子》的农业经济思想的主要内容，即重视农业，抑制奢侈品的消费。之所以重视农业，一是因为农业是人民安居乐业的保证，同时为国家的发展提供了有力的物质基础；二是因为农业能够保障国家富裕，兵力强大，使得国家在战争中有能力获得胜利，从而扩大疆土领地。</w:t>
      </w:r>
    </w:p>
    <w:p w14:paraId="78320FD6" w14:textId="3B55CA62" w:rsidR="00FB2073" w:rsidRDefault="00432949">
      <w:pPr>
        <w:spacing w:line="360" w:lineRule="auto"/>
        <w:ind w:firstLine="43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《管子·枢言》中言道：“得之必生，失之必死者，何也</w:t>
      </w:r>
      <w:r w:rsidR="00F6298B">
        <w:rPr>
          <w:rFonts w:ascii="宋体" w:eastAsia="宋体" w:hAnsi="宋体" w:hint="eastAsia"/>
          <w:sz w:val="24"/>
          <w:szCs w:val="24"/>
        </w:rPr>
        <w:t>？</w:t>
      </w:r>
      <w:r>
        <w:rPr>
          <w:rFonts w:ascii="宋体" w:eastAsia="宋体" w:hAnsi="宋体" w:hint="eastAsia"/>
          <w:sz w:val="24"/>
          <w:szCs w:val="24"/>
        </w:rPr>
        <w:t>为粟。”由此可见，粮食问题是否解决历来是衡量国家稳定与否的标准。简而言之，农民没有饭吃，就会揭竿而起，反对当局领导者。再言，治理国家需要使人民富裕，而人民富裕则需要国家重视农业的生产，只有国家的农业殷实了，才会使国家富强，在此基础上才能在战争中获得胜利，从而拥有更广阔的领地。而同时老百姓有充足的生活资料、稳定的经济基础，每个人都可以安居乐业，在这个物质基础上，老百姓才可能奉公守法，国家才会变得安定有序。“粟者，王之本事也，人主之大</w:t>
      </w:r>
      <w:proofErr w:type="gramStart"/>
      <w:r>
        <w:rPr>
          <w:rFonts w:ascii="宋体" w:eastAsia="宋体" w:hAnsi="宋体" w:hint="eastAsia"/>
          <w:sz w:val="24"/>
          <w:szCs w:val="24"/>
        </w:rPr>
        <w:t>务</w:t>
      </w:r>
      <w:proofErr w:type="gramEnd"/>
      <w:r>
        <w:rPr>
          <w:rFonts w:ascii="宋体" w:eastAsia="宋体" w:hAnsi="宋体" w:hint="eastAsia"/>
          <w:sz w:val="24"/>
          <w:szCs w:val="24"/>
        </w:rPr>
        <w:t>，有人之途，治国之道也。”就明确表明增加粮食是建成大国的根本任务，是领导人的重大任务，是招引百姓的途径，也是治理国家的原则。</w:t>
      </w:r>
    </w:p>
    <w:p w14:paraId="38AEDD94" w14:textId="13623629" w:rsidR="00FB2073" w:rsidRDefault="00432949" w:rsidP="00AC5ACD">
      <w:pPr>
        <w:spacing w:line="360" w:lineRule="auto"/>
        <w:ind w:firstLine="43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水能载舟，亦能覆舟，农民也一样。《管子》一书中先进的农业经济思想就很好的诠释了这一道理，首先是作者认为要重视农时，《管子·</w:t>
      </w:r>
      <w:r>
        <w:rPr>
          <w:rFonts w:ascii="宋体" w:eastAsia="宋体" w:hAnsi="宋体"/>
          <w:sz w:val="24"/>
          <w:szCs w:val="24"/>
        </w:rPr>
        <w:t>巨乘马》中</w:t>
      </w:r>
      <w:r>
        <w:rPr>
          <w:rFonts w:ascii="宋体" w:eastAsia="宋体" w:hAnsi="宋体" w:hint="eastAsia"/>
          <w:sz w:val="24"/>
          <w:szCs w:val="24"/>
        </w:rPr>
        <w:t>记载，要了解粮食生产的实际情况。由于适宜于农民春耕的时间之短，如果因为征发徭役而误了农时，使收成减少，再加上官吏的剥削，就会导致民不聊生，势必会引起人民的不满，从而出现农民暴动。再是要进行粮食储备，在《管子·国</w:t>
      </w:r>
      <w:r>
        <w:rPr>
          <w:rFonts w:ascii="宋体" w:eastAsia="宋体" w:hAnsi="宋体"/>
          <w:sz w:val="24"/>
          <w:szCs w:val="24"/>
        </w:rPr>
        <w:t>蓄》</w:t>
      </w:r>
      <w:r>
        <w:rPr>
          <w:rFonts w:ascii="宋体" w:eastAsia="宋体" w:hAnsi="宋体" w:hint="eastAsia"/>
          <w:sz w:val="24"/>
          <w:szCs w:val="24"/>
        </w:rPr>
        <w:t>和《管子·山权数》中，作者认为国家须储备大量的粮食和货币，才能最大限度的发挥民力，同时国家大量储存粮食后便能够操纵市场，从中获取暴利。三是控制粮价，通过平</w:t>
      </w:r>
      <w:r>
        <w:rPr>
          <w:rFonts w:ascii="宋体" w:eastAsia="宋体" w:hAnsi="宋体"/>
          <w:sz w:val="24"/>
          <w:szCs w:val="24"/>
        </w:rPr>
        <w:t>衡粮价</w:t>
      </w:r>
      <w:r w:rsidR="00400BEC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 w:hint="eastAsia"/>
          <w:sz w:val="24"/>
          <w:szCs w:val="24"/>
        </w:rPr>
        <w:t>打</w:t>
      </w:r>
      <w:r>
        <w:rPr>
          <w:rFonts w:ascii="宋体" w:eastAsia="宋体" w:hAnsi="宋体"/>
          <w:sz w:val="24"/>
          <w:szCs w:val="24"/>
        </w:rPr>
        <w:t>击利用丰</w:t>
      </w:r>
      <w:r>
        <w:rPr>
          <w:rFonts w:ascii="宋体" w:eastAsia="宋体" w:hAnsi="宋体" w:hint="eastAsia"/>
          <w:sz w:val="24"/>
          <w:szCs w:val="24"/>
        </w:rPr>
        <w:t>收年和歉收</w:t>
      </w:r>
      <w:r>
        <w:rPr>
          <w:rFonts w:ascii="宋体" w:eastAsia="宋体" w:hAnsi="宋体"/>
          <w:sz w:val="24"/>
          <w:szCs w:val="24"/>
        </w:rPr>
        <w:t>年之间巨大的差价而谋取暴利的商人</w:t>
      </w:r>
      <w:r>
        <w:rPr>
          <w:rFonts w:ascii="宋体" w:eastAsia="宋体" w:hAnsi="宋体" w:hint="eastAsia"/>
          <w:sz w:val="24"/>
          <w:szCs w:val="24"/>
        </w:rPr>
        <w:t>，从而抑制贫富的严重分化。四是均分土地于农民，不把</w:t>
      </w:r>
      <w:r>
        <w:rPr>
          <w:rFonts w:ascii="宋体" w:eastAsia="宋体" w:hAnsi="宋体"/>
          <w:sz w:val="24"/>
          <w:szCs w:val="24"/>
        </w:rPr>
        <w:t>土地</w:t>
      </w:r>
      <w:r>
        <w:rPr>
          <w:rFonts w:ascii="宋体" w:eastAsia="宋体" w:hAnsi="宋体" w:hint="eastAsia"/>
          <w:sz w:val="24"/>
          <w:szCs w:val="24"/>
        </w:rPr>
        <w:t>收获的数量均</w:t>
      </w:r>
      <w:r>
        <w:rPr>
          <w:rFonts w:ascii="宋体" w:eastAsia="宋体" w:hAnsi="宋体"/>
          <w:sz w:val="24"/>
          <w:szCs w:val="24"/>
        </w:rPr>
        <w:t>分给农民</w:t>
      </w:r>
      <w:r w:rsidR="00400BEC"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土地</w:t>
      </w:r>
      <w:r>
        <w:rPr>
          <w:rFonts w:ascii="宋体" w:eastAsia="宋体" w:hAnsi="宋体" w:hint="eastAsia"/>
          <w:sz w:val="24"/>
          <w:szCs w:val="24"/>
        </w:rPr>
        <w:t>就</w:t>
      </w:r>
      <w:r>
        <w:rPr>
          <w:rFonts w:ascii="宋体" w:eastAsia="宋体" w:hAnsi="宋体"/>
          <w:sz w:val="24"/>
          <w:szCs w:val="24"/>
        </w:rPr>
        <w:t>不能</w:t>
      </w:r>
      <w:r>
        <w:rPr>
          <w:rFonts w:ascii="宋体" w:eastAsia="宋体" w:hAnsi="宋体" w:hint="eastAsia"/>
          <w:sz w:val="24"/>
          <w:szCs w:val="24"/>
        </w:rPr>
        <w:t>被</w:t>
      </w:r>
      <w:r>
        <w:rPr>
          <w:rFonts w:ascii="宋体" w:eastAsia="宋体" w:hAnsi="宋体"/>
          <w:sz w:val="24"/>
          <w:szCs w:val="24"/>
        </w:rPr>
        <w:t>充分利</w:t>
      </w:r>
      <w:r>
        <w:rPr>
          <w:rFonts w:ascii="宋体" w:eastAsia="宋体" w:hAnsi="宋体" w:hint="eastAsia"/>
          <w:sz w:val="24"/>
          <w:szCs w:val="24"/>
        </w:rPr>
        <w:t>用，人</w:t>
      </w:r>
      <w:r>
        <w:rPr>
          <w:rFonts w:ascii="宋体" w:eastAsia="宋体" w:hAnsi="宋体"/>
          <w:sz w:val="24"/>
          <w:szCs w:val="24"/>
        </w:rPr>
        <w:t>力也不能充分</w:t>
      </w:r>
      <w:r>
        <w:rPr>
          <w:rFonts w:ascii="宋体" w:eastAsia="宋体" w:hAnsi="宋体" w:hint="eastAsia"/>
          <w:sz w:val="24"/>
          <w:szCs w:val="24"/>
        </w:rPr>
        <w:t>被</w:t>
      </w:r>
      <w:r>
        <w:rPr>
          <w:rFonts w:ascii="宋体" w:eastAsia="宋体" w:hAnsi="宋体"/>
          <w:sz w:val="24"/>
          <w:szCs w:val="24"/>
        </w:rPr>
        <w:t>发挥</w:t>
      </w:r>
      <w:r>
        <w:rPr>
          <w:rFonts w:ascii="宋体" w:eastAsia="宋体" w:hAnsi="宋体" w:hint="eastAsia"/>
          <w:sz w:val="24"/>
          <w:szCs w:val="24"/>
        </w:rPr>
        <w:t>，把</w:t>
      </w:r>
      <w:r>
        <w:rPr>
          <w:rFonts w:ascii="宋体" w:eastAsia="宋体" w:hAnsi="宋体"/>
          <w:sz w:val="24"/>
          <w:szCs w:val="24"/>
        </w:rPr>
        <w:t>土地分给农民</w:t>
      </w:r>
      <w:r>
        <w:rPr>
          <w:rFonts w:ascii="宋体" w:eastAsia="宋体" w:hAnsi="宋体" w:hint="eastAsia"/>
          <w:sz w:val="24"/>
          <w:szCs w:val="24"/>
        </w:rPr>
        <w:t>，</w:t>
      </w:r>
      <w:r>
        <w:rPr>
          <w:rFonts w:ascii="宋体" w:eastAsia="宋体" w:hAnsi="宋体"/>
          <w:sz w:val="24"/>
          <w:szCs w:val="24"/>
        </w:rPr>
        <w:t>才</w:t>
      </w:r>
      <w:r>
        <w:rPr>
          <w:rFonts w:ascii="宋体" w:eastAsia="宋体" w:hAnsi="宋体"/>
          <w:sz w:val="24"/>
          <w:szCs w:val="24"/>
        </w:rPr>
        <w:lastRenderedPageBreak/>
        <w:t>会</w:t>
      </w:r>
      <w:r>
        <w:rPr>
          <w:rFonts w:ascii="宋体" w:eastAsia="宋体" w:hAnsi="宋体" w:hint="eastAsia"/>
          <w:sz w:val="24"/>
          <w:szCs w:val="24"/>
        </w:rPr>
        <w:t>提高农</w:t>
      </w:r>
      <w:r>
        <w:rPr>
          <w:rFonts w:ascii="宋体" w:eastAsia="宋体" w:hAnsi="宋体"/>
          <w:sz w:val="24"/>
          <w:szCs w:val="24"/>
        </w:rPr>
        <w:t>民的生产积极性</w:t>
      </w:r>
      <w:r>
        <w:rPr>
          <w:rFonts w:ascii="宋体" w:eastAsia="宋体" w:hAnsi="宋体" w:hint="eastAsia"/>
          <w:sz w:val="24"/>
          <w:szCs w:val="24"/>
        </w:rPr>
        <w:t>。最后是对土地征税实行差额征税，《管子·乘马》中认识到，由于土地本身的品质的不同，导致所造成的产量不同，因此需要根据土地的实际情况，进行差额征税。这些丰富超前的农业经济思想，不仅在当时先进实用，对当代中国农业的发展中也具有十足的借鉴意义。</w:t>
      </w:r>
    </w:p>
    <w:sectPr w:rsidR="00FB20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2073"/>
    <w:rsid w:val="00400BEC"/>
    <w:rsid w:val="00432949"/>
    <w:rsid w:val="005D513F"/>
    <w:rsid w:val="00AC5ACD"/>
    <w:rsid w:val="00F6298B"/>
    <w:rsid w:val="00FB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45A2C"/>
  <w15:docId w15:val="{5BB77123-985C-4DE4-B56D-D5953702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162</Words>
  <Characters>928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ryuu kans</dc:creator>
  <cp:lastModifiedBy>Hans LONG</cp:lastModifiedBy>
  <cp:revision>3</cp:revision>
  <dcterms:created xsi:type="dcterms:W3CDTF">2023-06-28T09:38:00Z</dcterms:created>
  <dcterms:modified xsi:type="dcterms:W3CDTF">2023-06-28T10:03:00Z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9E3A45E249BC0A2D5180866070187267</vt:lpwstr>
  </property>
  <property fmtid="{D5CDD505-2E9C-101B-9397-08002B2CF9AE}" pid="3" name="KSOProductBuildVer">
    <vt:lpwstr>2052-11.7.0</vt:lpwstr>
  </property>
</Properties>
</file>