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center"/>
        <w:rPr>
          <w:rFonts w:asciiTheme="minorHAnsi" w:eastAsiaTheme="minorEastAsia" w:hAnsiTheme="minorHAnsi" w:cstheme="minorBidi"/>
          <w:b/>
          <w:bCs/>
          <w:kern w:val="2"/>
          <w:sz w:val="36"/>
          <w:szCs w:val="36"/>
        </w:rPr>
      </w:pPr>
      <w:r w:rsidRPr="00E37E9B">
        <w:rPr>
          <w:rFonts w:asciiTheme="minorHAnsi" w:eastAsiaTheme="minorEastAsia" w:hAnsiTheme="minorHAnsi" w:cstheme="minorBidi" w:hint="eastAsia"/>
          <w:b/>
          <w:bCs/>
          <w:kern w:val="2"/>
          <w:sz w:val="36"/>
          <w:szCs w:val="36"/>
        </w:rPr>
        <w:t>《菜根谭》</w:t>
      </w:r>
      <w:r>
        <w:rPr>
          <w:rFonts w:asciiTheme="minorHAnsi" w:eastAsiaTheme="minorEastAsia" w:hAnsiTheme="minorHAnsi" w:cstheme="minorBidi" w:hint="eastAsia"/>
          <w:b/>
          <w:bCs/>
          <w:kern w:val="2"/>
          <w:sz w:val="36"/>
          <w:szCs w:val="36"/>
        </w:rPr>
        <w:t>读后感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center"/>
        <w:rPr>
          <w:rFonts w:asciiTheme="minorHAnsi" w:eastAsiaTheme="minorEastAsia" w:hAnsiTheme="minorHAnsi" w:cstheme="minorBidi"/>
          <w:kern w:val="2"/>
          <w:szCs w:val="22"/>
        </w:rPr>
      </w:pPr>
      <w:proofErr w:type="gramStart"/>
      <w:r>
        <w:rPr>
          <w:rFonts w:asciiTheme="minorHAnsi" w:eastAsiaTheme="minorEastAsia" w:hAnsiTheme="minorHAnsi" w:cstheme="minorBidi" w:hint="eastAsia"/>
          <w:b/>
          <w:bCs/>
          <w:kern w:val="2"/>
          <w:szCs w:val="22"/>
        </w:rPr>
        <w:t>贾均山</w:t>
      </w:r>
      <w:proofErr w:type="gramEnd"/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一个非常非常平凡的人，写了一部让历史永远不能忘却的奇书，那就是《菜根谭》。据我所知，这本明代洪应明所着的书，被后人翻印过无数次，可见喜欢此书的人之多。新中国的创始人——毛泽东也喜欢此书，他对此书的评价是，“嚼得菜根者，百事可做。”可见这本书给人的教益，非同一般。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我反复翻阅的《菜根谭》全书由原文、译文、评点三项组成的条目一共</w:t>
      </w: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360</w:t>
      </w: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个，上至治国、平天下，下至修身、治家，人世中的大道无所不包。政治家可以从其中找到经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邦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治国的谋略的比如“居轩冕之中，不可无山林气味；处林泉之下，须要怀廊庙经纶。”“议事者身在事外，宜悉利害之情；任事者自居事中，当忘利害之虑。”商人可以找到机智，一种进退的机智，一种以仁取胜的机智；僧侣则会发现博大和宽柔，而我喜欢《菜根谭》，更多的是喜欢作者的思辨和处世哲学。</w:t>
      </w:r>
    </w:p>
    <w:p w:rsid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ind w:firstLine="480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比如，“子生而母危，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镪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积而盗窥，何喜非忧也？贫可以节用，病可以保身，何忧非喜也？”有了这样的辨证，就有了柔度，在生活中才会适可而止，才不至于被逆境击得粉碎。“自老视少，可以消奔驰角逐之心，自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瘁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视荣，可以绝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纷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华靡丽之念。”用这样透视的眼光去看人生历史，人才不至于轻得像一颗纤尘，随世风飞扬，而是始终保持一颗冷静的心。　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ind w:firstLine="480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那么，对待世态炎凉呢？作者这样告诉我们，“我贵而人奉之，奉此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峨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冠大带也；我贱而人侮之，侮此布衣草履也。然则原非奉我，我胡为喜？原非侮我，我胡为怒？”让立体“我”与世俗给予我们的外物绝然分开去对待荣辱，这不失为一种绝大的智慧。如果为官的都能这般认为，就不会被那些别有用心的吹捧者所迷惑，从而做出亲小人而远君子的蠢事来。而作者不惮以最坏的恶意度小人，以最小的信任寄于世情，以保持宠辱不惊的心态，这也是一种智慧。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对于天上掉的馅饼，洪应明则说，“非分之福，无故之获，非造物之钓饵，即人世之机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阱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。此处着眼不高，鲜不堕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彼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术中矣。”假如为官者都能深悟此道，就不会一时糊涂，结果作茧自缚，相反，倒可以未雨绸缪，防患于未然，从而安然度日。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面对权贵呢？他是这样说的，“趋炎附势之祸，甚惨亦甚速；栖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恬守逸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之味，最淡亦最长。”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何谓真君子？他告诉我们，“君子处患难而不忧，当宴游而惕虑，遇权豪而不惧，对茕独而惊心。”</w:t>
      </w:r>
    </w:p>
    <w:p w:rsidR="00E37E9B" w:rsidRPr="00E37E9B" w:rsidRDefault="00E37E9B" w:rsidP="00E37E9B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还有书中无处不在的博大、淡泊、宽容、善良，无处</w:t>
      </w:r>
      <w:proofErr w:type="gramStart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不</w:t>
      </w:r>
      <w:proofErr w:type="gramEnd"/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>有的谋略和智慧，所有这一切，让读者觉得自己岂止是在读书，而是与一位智者交谈，与一位畏友交流，心中的疑虑消失了，留下的都是那份沉甸甸的还带着暖意的警策。</w:t>
      </w:r>
    </w:p>
    <w:p w:rsidR="00A85994" w:rsidRPr="001D650E" w:rsidRDefault="00E37E9B" w:rsidP="001D650E">
      <w:pPr>
        <w:pStyle w:val="a3"/>
        <w:shd w:val="clear" w:color="auto" w:fill="FFFFFF"/>
        <w:spacing w:before="240" w:beforeAutospacing="0" w:after="0" w:afterAutospacing="0" w:line="240" w:lineRule="atLeast"/>
        <w:jc w:val="both"/>
        <w:rPr>
          <w:rFonts w:asciiTheme="minorHAnsi" w:eastAsiaTheme="minorEastAsia" w:hAnsiTheme="minorHAnsi" w:cstheme="minorBidi"/>
          <w:b/>
          <w:bCs/>
          <w:kern w:val="2"/>
          <w:szCs w:val="22"/>
        </w:rPr>
      </w:pPr>
      <w:r w:rsidRPr="00E37E9B">
        <w:rPr>
          <w:rFonts w:asciiTheme="minorHAnsi" w:eastAsiaTheme="minorEastAsia" w:hAnsiTheme="minorHAnsi" w:cstheme="minorBidi" w:hint="eastAsia"/>
          <w:kern w:val="2"/>
          <w:szCs w:val="22"/>
        </w:rPr>
        <w:t xml:space="preserve">　　</w:t>
      </w:r>
    </w:p>
    <w:sectPr w:rsidR="00A85994" w:rsidRPr="001D650E" w:rsidSect="00A85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589" w:rsidRDefault="00973589" w:rsidP="001D650E">
      <w:pPr>
        <w:ind w:firstLine="420"/>
      </w:pPr>
      <w:r>
        <w:separator/>
      </w:r>
    </w:p>
  </w:endnote>
  <w:endnote w:type="continuationSeparator" w:id="0">
    <w:p w:rsidR="00973589" w:rsidRDefault="00973589" w:rsidP="001D650E">
      <w:pPr>
        <w:ind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7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7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7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589" w:rsidRDefault="00973589" w:rsidP="001D650E">
      <w:pPr>
        <w:ind w:firstLine="420"/>
      </w:pPr>
      <w:r>
        <w:separator/>
      </w:r>
    </w:p>
  </w:footnote>
  <w:footnote w:type="continuationSeparator" w:id="0">
    <w:p w:rsidR="00973589" w:rsidRDefault="00973589" w:rsidP="001D650E">
      <w:pPr>
        <w:ind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6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6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50E" w:rsidRDefault="001D650E" w:rsidP="001D650E">
    <w:pPr>
      <w:pStyle w:val="a6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37E9B"/>
    <w:rsid w:val="001D650E"/>
    <w:rsid w:val="005954BD"/>
    <w:rsid w:val="008C07D1"/>
    <w:rsid w:val="00973589"/>
    <w:rsid w:val="00A85994"/>
    <w:rsid w:val="00E37E9B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7E9B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E37E9B"/>
    <w:rPr>
      <w:b/>
      <w:bCs/>
    </w:rPr>
  </w:style>
  <w:style w:type="character" w:styleId="a5">
    <w:name w:val="Hyperlink"/>
    <w:basedOn w:val="a0"/>
    <w:uiPriority w:val="99"/>
    <w:semiHidden/>
    <w:unhideWhenUsed/>
    <w:rsid w:val="00E37E9B"/>
    <w:rPr>
      <w:color w:val="0000FF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1D65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1D650E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1D65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1D650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2017-01-13T06:51:00Z</dcterms:created>
  <dcterms:modified xsi:type="dcterms:W3CDTF">2017-01-13T07:03:00Z</dcterms:modified>
</cp:coreProperties>
</file>