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67BFC9">
      <w:pPr>
        <w:spacing w:line="360" w:lineRule="auto"/>
        <w:jc w:val="center"/>
        <w:rPr>
          <w:rFonts w:hint="eastAsia" w:ascii="宋体" w:hAnsi="宋体"/>
          <w:b/>
          <w:bCs/>
          <w:sz w:val="32"/>
          <w:szCs w:val="32"/>
        </w:rPr>
      </w:pPr>
      <w:bookmarkStart w:id="0" w:name="_GoBack"/>
      <w:r>
        <w:rPr>
          <w:rFonts w:hint="eastAsia" w:ascii="宋体" w:hAnsi="宋体"/>
          <w:b/>
          <w:bCs/>
          <w:sz w:val="32"/>
          <w:szCs w:val="32"/>
        </w:rPr>
        <w:t>千面如生：《红楼梦》中曹雪芹的人物塑造艺术与人性启示</w:t>
      </w:r>
      <w:bookmarkEnd w:id="0"/>
    </w:p>
    <w:p w14:paraId="01495E53">
      <w:pPr>
        <w:spacing w:line="360" w:lineRule="auto"/>
        <w:rPr>
          <w:rFonts w:ascii="宋体" w:hAnsi="宋体"/>
          <w:sz w:val="24"/>
        </w:rPr>
      </w:pPr>
    </w:p>
    <w:p w14:paraId="1930FCB2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《红楼梦》被誉为中国古典小说的巅峰之作，其魅力跨越时空，不仅因它描绘了封建家族的兴衰史诗，更因曹雪芹以笔为刀，雕刻出数百个血肉丰满的灵魂。季羡林曾评价：“在古今中外众多的长篇小说中，《红楼梦》是一颗璀璨的明珠，是状元” 。而这份不朽的生命力，正源于曹雪芹开创性的人物塑造艺术——一种通过多层次渲染赋予角色立体感的笔法。</w:t>
      </w:r>
    </w:p>
    <w:p w14:paraId="34885BBC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</w:p>
    <w:p w14:paraId="2A5A0CE6">
      <w:pPr>
        <w:spacing w:line="360" w:lineRule="auto"/>
        <w:jc w:val="center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一、复调渲染：人物刻画的织锦术</w:t>
      </w:r>
    </w:p>
    <w:p w14:paraId="25A62DF0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曹雪芹塑造人物的精髓在于“反复渲染”——同一特质通过正面描写、侧面补叙、他人转述等多重角度渗透，最终在读者心中形成深刻烙印。以宝玉的“鱼眼睛”理论为例：他首次痛斥嫁人后的女性“染了男人气味就混账起来”，显其愤慨；第二次见司棋被驱逐时捶门怒骂“老婆子都是铁心石头肠子”，强化其价值观；最后借丫鬟春燕之口复述该观点，点明此乃宝玉一以贯之的哲学。三重笔墨如渐次叠加的釉彩，让角色的精神内核从“一时气话”升华为深刻的人生观。</w:t>
      </w:r>
    </w:p>
    <w:p w14:paraId="5AC6BA47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这种手法在宝钗身上更显精妙。她留心怡红院下人的特质，初现于第21回对袭人“套问年纪家乡”的描写，直指其心机；后在滴翠亭隔窗识小红声音，显露她对宝玉院落的熟悉；最终由莺儿与茗烟之母结干亲的闲笔补叙，坐实其系统性经营人际网络的谋略。曹雪芹从未直写“宝钗工于心计”，却通过草蛇灰线般的侧写，让读者自己拼凑出贵族少女的生存智慧。</w:t>
      </w:r>
    </w:p>
    <w:p w14:paraId="49D80DF8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</w:p>
    <w:p w14:paraId="30469F8B">
      <w:pPr>
        <w:spacing w:line="360" w:lineRule="auto"/>
        <w:jc w:val="center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二、视角即人格：叙述主体的个性化表达</w:t>
      </w:r>
    </w:p>
    <w:p w14:paraId="36567E43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更令人惊叹的是，曹雪芹让人物的认知局限成为性格的注解。刘姥姥将自鸣钟看作“坠秤砣的匣子”，把竹篱错认“扁豆架子”，这些误读恰如其分地体现农妇的认知框架。这种手法与《水浒传》中李逵听不懂“玉枢宝经”、只闻“经号之声”的描写异曲同工。曹雪芹深谙：人的眼界即牢笼——黛玉视落花为自身命运的投射，吟诵“一朝春尽红颜老，花落人亡两不知”时，葬的何止是花？更是预见自己将在封建礼教绞杀下凋零的灵魂。这种“物我同一”的敏感，正是她与世俗格格不入的悲剧内核。</w:t>
      </w:r>
    </w:p>
    <w:p w14:paraId="7DA8A955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</w:p>
    <w:p w14:paraId="01F77489">
      <w:pPr>
        <w:spacing w:line="360" w:lineRule="auto"/>
        <w:jc w:val="center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三、超越时代的文学实验：打破角色功能性的疆界</w:t>
      </w:r>
    </w:p>
    <w:p w14:paraId="7934ADC4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当现代网文仍困于“扁平工具人”的窠臼时，《红楼梦》早已实现角色的主体性解放。晴雯的塑造堪称典范：作为宝玉心中“光风霁月”的完美丫鬟，曹雪芹却执意揭开她性格的暗面——撵坠儿时用簪子戳其手的暴戾、王夫人口中的“妖精姿态”、小丫头们对她体罚的恐惧。这些碎片非但未削弱角色魅力，反而让她的刚烈与脆弱交织成人性的真实肌理。反观某些当代小说对角色“高光特质”的机械堆砌（如《长相思》中涂山璟被反复强调却难立住的“政治才能”），更显曹雪芹笔力的超越性。</w:t>
      </w:r>
    </w:p>
    <w:p w14:paraId="6341E643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</w:p>
    <w:p w14:paraId="56890AD4">
      <w:pPr>
        <w:spacing w:line="360" w:lineRule="auto"/>
        <w:jc w:val="center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四、悲剧的普世共鸣：欲望围城中的灵魂困境</w:t>
      </w:r>
    </w:p>
    <w:p w14:paraId="3B9816FB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《红楼梦》的宏大叙事最终落点于个体在时代枷锁中的挣扎。当黛玉在宝玉大婚的锣鼓声中含恨而终，当宝玉最终“悬崖撒手”遁入空门，他们反抗的不只是金玉良缘的婚姻安排，更是整个封建价值系统对自由意志的绞杀。书中“情”的幻灭与“悟”的超脱，恰如脂砚斋点明的宗旨：“所有热闹，终归虚化”。这种对存在困境的勘探，让《红楼梦》从一部家族史诗升华为人类命运的寓言——恰如名家点评所言：“读红楼，过情关，风月情长，终究梦一场”。</w:t>
      </w:r>
    </w:p>
    <w:p w14:paraId="0D6E5A80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二百年过去，荣宁二府的雕梁画栋早已化尘，但曹雪芹用复调笔法雕刻的灵魂仍在字里行间呼吸。当黛玉葬花的泪痕渗入我们的心灵，当宝钗藏拙的微笑引发当代职场的共谋感，我们终将领悟：伟大的文学从不为时代作注，而是不断重写解读人性的密码。《红楼梦》中那些在礼教与欲望间辗转的生命，恰似一面棱镜——每个时代都能在其中照见自己的困境，而这正是它永恒流动的生命力。</w:t>
      </w:r>
    </w:p>
    <w:p w14:paraId="1238ADC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FB0CB5"/>
    <w:rsid w:val="62FB0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2025-06-26T06:43:00Z</dcterms:created>
  <dc:creator>晨曦☀</dc:creator>
  <cp:lastModifiedBy>晨曦☀</cp:lastModifiedBy>
  <dcterms:modified xsi:type="dcterms:W3CDTF">2025-06-26T06:45:38Z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605B7DA29E9D4F71A020018C9BC113C7_11</vt:lpwstr>
  </property>
  <property fmtid="{D5CDD505-2E9C-101B-9397-08002B2CF9AE}" pid="4" name="KSOTemplateDocerSaveRecord">
    <vt:lpwstr>eyJoZGlkIjoiNDIyNDU4MjZiOTQ2OGQ3MjMzYWM2ZjZiN2U3ZTUyY2YiLCJ1c2VySWQiOiIxMTY5ODI4NzYwIn0=</vt:lpwstr>
  </property>
</Properties>
</file>