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CF2EA">
      <w:pPr>
        <w:ind w:firstLine="3935" w:firstLineChars="1400"/>
        <w:rPr>
          <w:rFonts w:hint="default" w:ascii="宋体" w:hAnsi="宋体" w:eastAsia="宋体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  <w:t>评课3篇</w:t>
      </w:r>
    </w:p>
    <w:p w14:paraId="5175DC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default" w:ascii="宋体" w:hAnsi="宋体" w:eastAsia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授课老师：</w:t>
      </w:r>
      <w:r>
        <w:rPr>
          <w:rFonts w:hint="eastAsia" w:ascii="宋体" w:hAnsi="宋体" w:eastAsia="宋体"/>
          <w:b w:val="0"/>
          <w:bCs w:val="0"/>
          <w:sz w:val="21"/>
          <w:szCs w:val="21"/>
          <w:lang w:val="en-US" w:eastAsia="zh-CN"/>
        </w:rPr>
        <w:t>吉可心</w:t>
      </w:r>
    </w:p>
    <w:p w14:paraId="6496EB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课程主题：</w:t>
      </w:r>
      <w:r>
        <w:rPr>
          <w:rFonts w:ascii="宋体" w:hAnsi="宋体" w:eastAsia="宋体" w:cs="Arial"/>
          <w:sz w:val="21"/>
          <w:szCs w:val="21"/>
        </w:rPr>
        <w:t>《</w:t>
      </w:r>
      <w:r>
        <w:rPr>
          <w:rFonts w:hint="eastAsia" w:ascii="宋体" w:hAnsi="宋体" w:eastAsia="宋体" w:cs="Arial"/>
          <w:sz w:val="21"/>
          <w:szCs w:val="21"/>
        </w:rPr>
        <w:t>《Klima-Briefe：气候之笺》</w:t>
      </w:r>
      <w:r>
        <w:rPr>
          <w:rFonts w:ascii="宋体" w:hAnsi="宋体" w:eastAsia="宋体" w:cs="Arial"/>
          <w:sz w:val="21"/>
          <w:szCs w:val="21"/>
        </w:rPr>
        <w:t>》</w:t>
      </w:r>
    </w:p>
    <w:p w14:paraId="0CC84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eastAsia" w:ascii="宋体" w:hAnsi="宋体" w:eastAsia="宋体"/>
          <w:b/>
          <w:bCs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授课时间：</w:t>
      </w:r>
      <w:r>
        <w:rPr>
          <w:rFonts w:hint="eastAsia" w:ascii="宋体" w:hAnsi="宋体" w:eastAsia="宋体"/>
          <w:b w:val="0"/>
          <w:bCs w:val="0"/>
          <w:sz w:val="21"/>
          <w:szCs w:val="21"/>
        </w:rPr>
        <w:t>2025年3月11日</w:t>
      </w:r>
    </w:p>
    <w:p w14:paraId="5EC955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textAlignment w:val="auto"/>
        <w:rPr>
          <w:rFonts w:hint="eastAsia"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一、本节课的</w:t>
      </w:r>
      <w:r>
        <w:rPr>
          <w:rFonts w:ascii="宋体" w:hAnsi="宋体" w:eastAsia="宋体"/>
          <w:b/>
          <w:bCs/>
          <w:sz w:val="21"/>
          <w:szCs w:val="21"/>
        </w:rPr>
        <w:t>亮点</w:t>
      </w:r>
      <w:r>
        <w:rPr>
          <w:rFonts w:ascii="宋体" w:hAnsi="宋体" w:eastAsia="宋体"/>
          <w:sz w:val="21"/>
          <w:szCs w:val="21"/>
        </w:rPr>
        <w:t>：</w:t>
      </w:r>
    </w:p>
    <w:p w14:paraId="3F6DDF6B">
      <w:pPr>
        <w:pStyle w:val="5"/>
        <w:keepNext w:val="0"/>
        <w:keepLines w:val="0"/>
        <w:pageBreakBefore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60" w:afterAutospacing="0" w:line="300" w:lineRule="exact"/>
        <w:textAlignment w:val="auto"/>
        <w:rPr>
          <w:rFonts w:cs="Segoe UI"/>
          <w:color w:val="404040"/>
          <w:sz w:val="21"/>
          <w:szCs w:val="21"/>
        </w:rPr>
      </w:pPr>
      <w:r>
        <w:rPr>
          <w:rStyle w:val="4"/>
          <w:rFonts w:cs="Segoe UI"/>
          <w:color w:val="404040"/>
          <w:sz w:val="21"/>
          <w:szCs w:val="21"/>
        </w:rPr>
        <w:t>跨学科融合创新</w:t>
      </w:r>
    </w:p>
    <w:p w14:paraId="449CCE7D">
      <w:pPr>
        <w:pStyle w:val="5"/>
        <w:keepNext w:val="0"/>
        <w:keepLines w:val="0"/>
        <w:pageBreakBefore w:val="0"/>
        <w:numPr>
          <w:ilvl w:val="1"/>
          <w:numId w:val="1"/>
        </w:numPr>
        <w:shd w:val="clear" w:color="auto" w:fill="FFFFFF"/>
        <w:tabs>
          <w:tab w:val="clear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0" w:lineRule="exact"/>
        <w:ind w:left="1134" w:hanging="447"/>
        <w:textAlignment w:val="auto"/>
        <w:rPr>
          <w:rFonts w:cs="Segoe UI"/>
          <w:color w:val="404040"/>
          <w:sz w:val="21"/>
          <w:szCs w:val="21"/>
        </w:rPr>
      </w:pPr>
      <w:r>
        <w:rPr>
          <w:rFonts w:cs="Segoe UI"/>
          <w:color w:val="404040"/>
          <w:sz w:val="21"/>
          <w:szCs w:val="21"/>
        </w:rPr>
        <w:t>成功整合德语写作与美术设计，以“环保明信片”为载体，实现语言表达（德语主题写作）与艺术创作（点线面构图、色彩纹样设计）的深度结合。学生通过“描述理想日/糟糕日”的德语写作任务，结合气候变化主题设计明信片，既巩固语言能力，又提升创意实践素养。</w:t>
      </w:r>
    </w:p>
    <w:p w14:paraId="08925A62">
      <w:pPr>
        <w:pStyle w:val="5"/>
        <w:keepNext w:val="0"/>
        <w:keepLines w:val="0"/>
        <w:pageBreakBefore w:val="0"/>
        <w:numPr>
          <w:ilvl w:val="1"/>
          <w:numId w:val="1"/>
        </w:numPr>
        <w:shd w:val="clear" w:color="auto" w:fill="FFFFFF"/>
        <w:tabs>
          <w:tab w:val="clear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0" w:lineRule="exact"/>
        <w:ind w:left="1134" w:hanging="447"/>
        <w:textAlignment w:val="auto"/>
        <w:rPr>
          <w:rFonts w:cs="Segoe UI"/>
          <w:color w:val="404040"/>
          <w:sz w:val="21"/>
          <w:szCs w:val="21"/>
        </w:rPr>
      </w:pPr>
      <w:r>
        <w:rPr>
          <w:rFonts w:cs="Segoe UI"/>
          <w:color w:val="404040"/>
          <w:sz w:val="21"/>
          <w:szCs w:val="21"/>
        </w:rPr>
        <w:t>契合新课标“跨学科主题学习”要求，呼应了德语课标中“真实情境交际”与艺术课标中“创意实践能力”的核心目标。</w:t>
      </w:r>
    </w:p>
    <w:p w14:paraId="71A205CA">
      <w:pPr>
        <w:pStyle w:val="5"/>
        <w:keepNext w:val="0"/>
        <w:keepLines w:val="0"/>
        <w:pageBreakBefore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60" w:afterAutospacing="0" w:line="300" w:lineRule="exact"/>
        <w:textAlignment w:val="auto"/>
        <w:rPr>
          <w:rFonts w:cs="Segoe UI"/>
          <w:color w:val="404040"/>
          <w:sz w:val="21"/>
          <w:szCs w:val="21"/>
        </w:rPr>
      </w:pPr>
      <w:r>
        <w:rPr>
          <w:rStyle w:val="4"/>
          <w:rFonts w:cs="Segoe UI"/>
          <w:color w:val="404040"/>
          <w:sz w:val="21"/>
          <w:szCs w:val="21"/>
        </w:rPr>
        <w:t>真实情境驱动学习</w:t>
      </w:r>
    </w:p>
    <w:p w14:paraId="6FC50C51">
      <w:pPr>
        <w:pStyle w:val="5"/>
        <w:keepNext w:val="0"/>
        <w:keepLines w:val="0"/>
        <w:pageBreakBefore w:val="0"/>
        <w:numPr>
          <w:ilvl w:val="1"/>
          <w:numId w:val="1"/>
        </w:numPr>
        <w:shd w:val="clear" w:color="auto" w:fill="FFFFFF"/>
        <w:tabs>
          <w:tab w:val="clear" w:pos="144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0" w:lineRule="exact"/>
        <w:ind w:left="1134" w:hanging="425"/>
        <w:textAlignment w:val="auto"/>
        <w:rPr>
          <w:rFonts w:cs="Segoe UI"/>
          <w:color w:val="404040"/>
          <w:sz w:val="21"/>
          <w:szCs w:val="21"/>
        </w:rPr>
      </w:pPr>
      <w:r>
        <w:rPr>
          <w:rFonts w:cs="Segoe UI"/>
          <w:color w:val="404040"/>
          <w:sz w:val="21"/>
          <w:szCs w:val="21"/>
        </w:rPr>
        <w:t>引入德国伙伴学校视频、往届学生作品等真实素材，创设“地球少年绿色对话”的跨文化交际情境，激发学生兴趣。任务设计贴近生活（撰写个人经历、设计可寄送的明信片），增强学习意义感。</w:t>
      </w:r>
    </w:p>
    <w:p w14:paraId="7866C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二、本节课的</w:t>
      </w:r>
      <w:r>
        <w:rPr>
          <w:rFonts w:ascii="宋体" w:hAnsi="宋体" w:eastAsia="宋体"/>
          <w:b/>
          <w:bCs/>
          <w:sz w:val="21"/>
          <w:szCs w:val="21"/>
        </w:rPr>
        <w:t>不足</w:t>
      </w:r>
      <w:r>
        <w:rPr>
          <w:rFonts w:ascii="宋体" w:hAnsi="宋体" w:eastAsia="宋体"/>
          <w:sz w:val="21"/>
          <w:szCs w:val="21"/>
        </w:rPr>
        <w:t>：</w:t>
      </w:r>
    </w:p>
    <w:p w14:paraId="6E988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eastAsia" w:ascii="宋体" w:hAnsi="宋体" w:eastAsia="宋体"/>
          <w:sz w:val="21"/>
          <w:szCs w:val="21"/>
        </w:rPr>
      </w:pPr>
    </w:p>
    <w:p w14:paraId="605DB8C0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b/>
          <w:bCs/>
          <w:sz w:val="21"/>
          <w:szCs w:val="21"/>
        </w:rPr>
        <w:t>时间分配需优化</w:t>
      </w:r>
    </w:p>
    <w:p w14:paraId="0685859B">
      <w:pPr>
        <w:keepNext w:val="0"/>
        <w:keepLines w:val="0"/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80分钟完成写作+设计任务较紧张，部分学生明信片制作略显仓促（新闻稿提及“课间休息”，反映节奏紧凑）。</w:t>
      </w:r>
    </w:p>
    <w:p w14:paraId="4B633558">
      <w:pPr>
        <w:keepNext w:val="0"/>
        <w:keepLines w:val="0"/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写作环节的互评与教师点评仅选取2份样例，覆盖范围有限。</w:t>
      </w:r>
    </w:p>
    <w:p w14:paraId="380246FD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b/>
          <w:bCs/>
          <w:sz w:val="21"/>
          <w:szCs w:val="21"/>
        </w:rPr>
        <w:t>分层指导不足</w:t>
      </w:r>
    </w:p>
    <w:p w14:paraId="4A6A1F77">
      <w:pPr>
        <w:keepNext w:val="0"/>
        <w:keepLines w:val="0"/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学情分析提到学生德语水平差异，但教学中未体现分层任务（如词汇库分级、句式支架），可能导致基础薄弱学生写作困难。</w:t>
      </w:r>
    </w:p>
    <w:p w14:paraId="644603FA">
      <w:pPr>
        <w:keepNext w:val="0"/>
        <w:keepLines w:val="0"/>
        <w:pageBreakBefore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ascii="宋体" w:hAnsi="宋体" w:eastAsia="宋体"/>
          <w:sz w:val="21"/>
          <w:szCs w:val="21"/>
        </w:rPr>
      </w:pPr>
      <w:r>
        <w:rPr>
          <w:rFonts w:ascii="宋体" w:hAnsi="宋体" w:eastAsia="宋体"/>
          <w:sz w:val="21"/>
          <w:szCs w:val="21"/>
        </w:rPr>
        <w:t>美术设计环节对“造型元素运用”的指导较抽象，部分学生难以将点线面理论转化为实践。</w:t>
      </w:r>
    </w:p>
    <w:p w14:paraId="31CBFEF5"/>
    <w:p w14:paraId="2FC6CE3C"/>
    <w:p w14:paraId="3C03F9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default" w:ascii="宋体" w:hAnsi="宋体" w:eastAsia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授课老师：陆国斌</w:t>
      </w:r>
    </w:p>
    <w:p w14:paraId="7D32BB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default" w:ascii="Times New Roman" w:hAnsi="Times New Roman" w:eastAsia="宋体" w:cs="Times New Roman"/>
          <w:b w:val="0"/>
          <w:bCs/>
          <w:sz w:val="24"/>
          <w:szCs w:val="20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课程主题：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0"/>
          <w:lang w:val="en-US" w:eastAsia="zh-CN"/>
        </w:rPr>
        <w:t>《Unit 5 More practice：The story of the red-crowned crane》</w:t>
      </w:r>
    </w:p>
    <w:p w14:paraId="077E6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eastAsia" w:ascii="宋体" w:hAnsi="宋体" w:eastAsia="宋体"/>
          <w:b/>
          <w:bCs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授课时间：2025年</w:t>
      </w: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/>
          <w:b/>
          <w:bCs/>
          <w:sz w:val="21"/>
          <w:szCs w:val="21"/>
        </w:rPr>
        <w:t>月</w:t>
      </w: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/>
          <w:b/>
          <w:bCs/>
          <w:sz w:val="21"/>
          <w:szCs w:val="21"/>
        </w:rPr>
        <w:t>日</w:t>
      </w:r>
    </w:p>
    <w:p w14:paraId="0A142F73">
      <w:pPr>
        <w:rPr>
          <w:rFonts w:hint="eastAsia"/>
          <w:b/>
          <w:bCs/>
        </w:rPr>
      </w:pPr>
      <w:r>
        <w:rPr>
          <w:rFonts w:hint="eastAsia"/>
          <w:b/>
          <w:bCs/>
        </w:rPr>
        <w:t>一、亮点</w:t>
      </w:r>
    </w:p>
    <w:p w14:paraId="442E8059">
      <w:pPr>
        <w:rPr>
          <w:rFonts w:hint="eastAsia"/>
          <w:b/>
          <w:bCs/>
        </w:rPr>
      </w:pPr>
      <w:r>
        <w:rPr>
          <w:rFonts w:hint="eastAsia"/>
          <w:b/>
          <w:bCs/>
        </w:rPr>
        <w:t>1、多模态教学融合，情境创设生动立体，AI技术赋能课堂：</w:t>
      </w:r>
    </w:p>
    <w:p w14:paraId="48788E6F">
      <w:pPr>
        <w:rPr>
          <w:rFonts w:hint="eastAsia"/>
        </w:rPr>
      </w:pPr>
      <w:r>
        <w:rPr>
          <w:rFonts w:hint="eastAsia"/>
        </w:rPr>
        <w:t>以 “智绘丹顶鹤，与 AI 共创新” 为主题，通过图片、视频、音乐等多模态资源构建沉浸式学习场景。借助 AI 角色 “AI-Luke” 贯穿课堂，以英语助理老师的身份与学生进行提问互动（如 “你对丹顶鹤了解多少”），让学生比对自己的答案以及AI-Luke划分故事的方法和概括大意的表达，并使用AI-Luke点评学生口语表达中的语法错误点，及时纠正，提出建议，极大地调动学生口语表达的积极性。</w:t>
      </w:r>
    </w:p>
    <w:p w14:paraId="6A74782C">
      <w:pPr>
        <w:rPr>
          <w:rFonts w:hint="eastAsia"/>
          <w:b/>
          <w:bCs/>
        </w:rPr>
      </w:pPr>
      <w:r>
        <w:rPr>
          <w:rFonts w:hint="eastAsia"/>
          <w:b/>
          <w:bCs/>
        </w:rPr>
        <w:t>2、文本分析与德育目标有机结合：</w:t>
      </w:r>
    </w:p>
    <w:p w14:paraId="5883F3D7">
      <w:pPr>
        <w:rPr>
          <w:rFonts w:hint="eastAsia"/>
        </w:rPr>
      </w:pPr>
      <w:r>
        <w:rPr>
          <w:rFonts w:hint="eastAsia"/>
        </w:rPr>
        <w:t>本节课以时间顺序为线索解析徐秀娟故事，引导学生通过梳理 “1964 年出生”“1987 年牺牲” 等时间表达式，理解叙事结构的同时，自然渗透 “责任与奉献” 的德育内涵。例如，在分析徐秀娟照料病鹤、寻找失踪丹顶鹤的情节时，通过问题链（“她为何坚持寻找？”“这种行为体现了什么？”）引导学生感悟保护动物的使命感。</w:t>
      </w:r>
    </w:p>
    <w:p w14:paraId="70DF6C5E">
      <w:pPr>
        <w:rPr>
          <w:rFonts w:hint="eastAsia"/>
          <w:b/>
          <w:bCs/>
        </w:rPr>
      </w:pPr>
      <w:r>
        <w:rPr>
          <w:rFonts w:hint="eastAsia"/>
          <w:b/>
          <w:bCs/>
        </w:rPr>
        <w:t>二、不足：</w:t>
      </w:r>
    </w:p>
    <w:p w14:paraId="2F94A9E5">
      <w:pPr>
        <w:rPr>
          <w:rFonts w:hint="eastAsia"/>
        </w:rPr>
      </w:pPr>
      <w:r>
        <w:rPr>
          <w:rFonts w:hint="eastAsia"/>
          <w:b/>
          <w:bCs/>
        </w:rPr>
        <w:t>1、学生个体参与深度不足：</w:t>
      </w:r>
      <w:r>
        <w:rPr>
          <w:rFonts w:hint="eastAsia"/>
        </w:rPr>
        <w:t>小组讨论环节中，虽采用分工模式，但部分性格内向或语言基础较弱的学生仅承担 “记录”“倾听” 角色，在观点表达（如向 AI 徐秀娟提问）时依赖组长主导，未能充分展现个性化思考，存在 “少数学生活跃，多数学生被动” 的现象。</w:t>
      </w:r>
    </w:p>
    <w:p w14:paraId="74448318">
      <w:pPr>
        <w:rPr>
          <w:rFonts w:hint="eastAsia"/>
        </w:rPr>
      </w:pPr>
      <w:r>
        <w:rPr>
          <w:rFonts w:hint="eastAsia"/>
          <w:b/>
          <w:bCs/>
        </w:rPr>
        <w:t>2、时间把控需更弹性：</w:t>
      </w:r>
      <w:r>
        <w:rPr>
          <w:rFonts w:hint="eastAsia"/>
        </w:rPr>
        <w:t>在复述徐秀娟生平事迹的任务中，教师为推进进度，未给予学生足够的时间，导致部分学生直接参照流程图，朗读完成，未能真正内化 “时间顺序叙事” 的文本分析方法。</w:t>
      </w:r>
    </w:p>
    <w:p w14:paraId="5F6DBE57">
      <w:pPr>
        <w:rPr>
          <w:rFonts w:hint="eastAsia"/>
        </w:rPr>
      </w:pPr>
    </w:p>
    <w:p w14:paraId="7EB55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default" w:ascii="宋体" w:hAnsi="宋体" w:eastAsia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  <w:lang w:val="en-US" w:eastAsia="zh-CN"/>
        </w:rPr>
        <w:t>授课老师：</w:t>
      </w:r>
      <w:r>
        <w:rPr>
          <w:rFonts w:hint="eastAsia" w:ascii="宋体" w:hAnsi="宋体" w:eastAsia="宋体"/>
          <w:b w:val="0"/>
          <w:bCs w:val="0"/>
          <w:sz w:val="21"/>
          <w:szCs w:val="21"/>
          <w:lang w:val="en-US" w:eastAsia="zh-CN"/>
        </w:rPr>
        <w:t>林亚洁</w:t>
      </w:r>
    </w:p>
    <w:p w14:paraId="0A9FB1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eastAsia"/>
          <w:b/>
          <w:sz w:val="32"/>
          <w:lang w:val="en-US" w:eastAsia="zh-CN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课程主题：</w:t>
      </w:r>
      <w:r>
        <w:rPr>
          <w:rFonts w:hint="default" w:ascii="Times New Roman" w:hAnsi="Times New Roman" w:cs="Times New Roman"/>
          <w:b w:val="0"/>
          <w:bCs/>
          <w:sz w:val="24"/>
          <w:szCs w:val="20"/>
        </w:rPr>
        <w:t xml:space="preserve">Unit </w:t>
      </w:r>
      <w:r>
        <w:rPr>
          <w:rFonts w:hint="default" w:ascii="Times New Roman" w:hAnsi="Times New Roman" w:cs="Times New Roman"/>
          <w:b w:val="0"/>
          <w:bCs/>
          <w:sz w:val="24"/>
          <w:szCs w:val="20"/>
          <w:lang w:val="en-US" w:eastAsia="zh-CN"/>
        </w:rPr>
        <w:t>6 Reading Head to head</w:t>
      </w:r>
    </w:p>
    <w:p w14:paraId="79ADCA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exact"/>
        <w:textAlignment w:val="auto"/>
        <w:rPr>
          <w:rFonts w:hint="eastAsia" w:ascii="宋体" w:hAnsi="宋体" w:eastAsia="宋体"/>
          <w:b/>
          <w:bCs/>
          <w:sz w:val="21"/>
          <w:szCs w:val="21"/>
        </w:rPr>
      </w:pPr>
      <w:r>
        <w:rPr>
          <w:rFonts w:hint="eastAsia" w:ascii="宋体" w:hAnsi="宋体" w:eastAsia="宋体"/>
          <w:b/>
          <w:bCs/>
          <w:sz w:val="21"/>
          <w:szCs w:val="21"/>
        </w:rPr>
        <w:t>授课时间：</w:t>
      </w:r>
      <w:r>
        <w:rPr>
          <w:rFonts w:hint="eastAsia" w:ascii="宋体" w:hAnsi="宋体" w:eastAsia="宋体"/>
          <w:b w:val="0"/>
          <w:bCs w:val="0"/>
          <w:sz w:val="21"/>
          <w:szCs w:val="21"/>
        </w:rPr>
        <w:t>2025年</w:t>
      </w:r>
      <w:r>
        <w:rPr>
          <w:rFonts w:hint="eastAsia" w:ascii="宋体" w:hAnsi="宋体" w:eastAsia="宋体"/>
          <w:b w:val="0"/>
          <w:bCs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/>
          <w:b w:val="0"/>
          <w:bCs w:val="0"/>
          <w:sz w:val="21"/>
          <w:szCs w:val="21"/>
        </w:rPr>
        <w:t>月</w:t>
      </w:r>
      <w:r>
        <w:rPr>
          <w:rFonts w:hint="eastAsia" w:ascii="宋体" w:hAnsi="宋体" w:eastAsia="宋体"/>
          <w:b w:val="0"/>
          <w:bCs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/>
          <w:b w:val="0"/>
          <w:bCs w:val="0"/>
          <w:sz w:val="21"/>
          <w:szCs w:val="21"/>
        </w:rPr>
        <w:t>日</w:t>
      </w:r>
    </w:p>
    <w:p w14:paraId="713695CD">
      <w:pPr>
        <w:numPr>
          <w:ilvl w:val="0"/>
          <w:numId w:val="3"/>
        </w:numPr>
        <w:spacing w:after="66" w:line="259" w:lineRule="auto"/>
        <w:ind w:hanging="482"/>
        <w:rPr>
          <w:rFonts w:hint="eastAsia" w:eastAsia="宋体" w:cs="宋体"/>
          <w:b/>
          <w:bCs/>
          <w:sz w:val="28"/>
          <w:szCs w:val="24"/>
        </w:rPr>
      </w:pPr>
      <w:r>
        <w:rPr>
          <w:rFonts w:hint="eastAsia" w:eastAsia="宋体" w:cs="宋体"/>
          <w:b/>
          <w:bCs/>
          <w:sz w:val="28"/>
          <w:szCs w:val="24"/>
          <w:lang w:val="en-US" w:eastAsia="zh-CN"/>
        </w:rPr>
        <w:t>亮点</w:t>
      </w:r>
    </w:p>
    <w:p w14:paraId="5134220E">
      <w:pPr>
        <w:numPr>
          <w:ilvl w:val="0"/>
          <w:numId w:val="4"/>
        </w:numPr>
        <w:spacing w:after="66" w:line="259" w:lineRule="auto"/>
        <w:rPr>
          <w:rFonts w:hint="eastAsia" w:eastAsia="宋体" w:cs="宋体"/>
          <w:b w:val="0"/>
          <w:bCs w:val="0"/>
        </w:rPr>
      </w:pPr>
      <w:r>
        <w:rPr>
          <w:rFonts w:hint="eastAsia" w:eastAsia="宋体" w:cs="宋体"/>
          <w:b/>
          <w:bCs/>
        </w:rPr>
        <w:t>课堂节奏紧凑高效，教学内容扎实，脚手架搭建充分</w:t>
      </w:r>
      <w:r>
        <w:rPr>
          <w:rFonts w:hint="eastAsia" w:eastAsia="宋体" w:cs="宋体"/>
          <w:b/>
          <w:bCs/>
          <w:lang w:eastAsia="zh-CN"/>
        </w:rPr>
        <w:t>：</w:t>
      </w:r>
      <w:r>
        <w:rPr>
          <w:rFonts w:hint="eastAsia" w:eastAsia="宋体" w:cs="宋体"/>
          <w:b w:val="0"/>
          <w:bCs w:val="0"/>
        </w:rPr>
        <w:t>本节课课堂节奏把控得当，各个环节衔接自然流畅，充分利用了课堂时间，确保了教学目标的顺利达成。教学内容安排扎实，从议论文结构解析到辩论技巧实践，层层递进，逐步深入，使学生能够在有限的时间内系统地掌握相关知识。</w:t>
      </w:r>
    </w:p>
    <w:p w14:paraId="161B380C">
      <w:pPr>
        <w:numPr>
          <w:ilvl w:val="0"/>
          <w:numId w:val="0"/>
        </w:numPr>
        <w:spacing w:after="66" w:line="259" w:lineRule="auto"/>
        <w:rPr>
          <w:rFonts w:hint="eastAsia" w:eastAsia="宋体" w:cs="宋体"/>
          <w:b w:val="0"/>
          <w:bCs w:val="0"/>
        </w:rPr>
      </w:pPr>
      <w:r>
        <w:rPr>
          <w:rFonts w:hint="eastAsia" w:eastAsia="宋体" w:cs="宋体"/>
          <w:b/>
          <w:bCs/>
          <w:lang w:val="en-US" w:eastAsia="zh-CN"/>
        </w:rPr>
        <w:t>2、</w:t>
      </w:r>
      <w:r>
        <w:rPr>
          <w:rFonts w:hint="eastAsia" w:eastAsia="宋体" w:cs="宋体"/>
          <w:b/>
          <w:bCs/>
        </w:rPr>
        <w:t>PPT设计精美，多模态教学手段运用得当，直观生动</w:t>
      </w:r>
      <w:r>
        <w:rPr>
          <w:rFonts w:hint="eastAsia" w:eastAsia="宋体" w:cs="宋体"/>
          <w:b/>
          <w:bCs/>
          <w:lang w:eastAsia="zh-CN"/>
        </w:rPr>
        <w:t>：</w:t>
      </w:r>
      <w:r>
        <w:rPr>
          <w:rFonts w:hint="eastAsia" w:eastAsia="宋体" w:cs="宋体"/>
          <w:b w:val="0"/>
          <w:bCs w:val="0"/>
        </w:rPr>
        <w:t>本节课的PPT设计堪称一大亮点，色彩搭配鲜艳明快，对比明显，不仅吸引了学生的注意力，还有效地突出了逻辑重点与语言知识点。</w:t>
      </w:r>
    </w:p>
    <w:p w14:paraId="57AFD032">
      <w:pPr>
        <w:numPr>
          <w:ilvl w:val="0"/>
          <w:numId w:val="0"/>
        </w:numPr>
        <w:spacing w:after="66" w:line="259" w:lineRule="auto"/>
        <w:rPr>
          <w:rFonts w:hint="eastAsia" w:eastAsia="宋体" w:cs="宋体"/>
          <w:b w:val="0"/>
          <w:bCs w:val="0"/>
        </w:rPr>
      </w:pPr>
      <w:r>
        <w:rPr>
          <w:rFonts w:hint="eastAsia" w:eastAsia="宋体" w:cs="宋体"/>
          <w:b/>
          <w:bCs/>
          <w:lang w:val="en-US" w:eastAsia="zh-CN"/>
        </w:rPr>
        <w:t>3、</w:t>
      </w:r>
      <w:r>
        <w:rPr>
          <w:rFonts w:hint="eastAsia" w:eastAsia="宋体" w:cs="宋体"/>
          <w:b/>
          <w:bCs/>
        </w:rPr>
        <w:t>教学角度新颖，德育目标高效达成，辩论产出环节大胆创新</w:t>
      </w:r>
      <w:r>
        <w:rPr>
          <w:rFonts w:hint="eastAsia" w:eastAsia="宋体" w:cs="宋体"/>
          <w:b/>
          <w:bCs/>
          <w:lang w:eastAsia="zh-CN"/>
        </w:rPr>
        <w:t>：</w:t>
      </w:r>
      <w:r>
        <w:rPr>
          <w:rFonts w:hint="eastAsia" w:eastAsia="宋体" w:cs="宋体"/>
          <w:b w:val="0"/>
          <w:bCs w:val="0"/>
        </w:rPr>
        <w:t>本节课在教学角度的选择上颇具新意，以“养宠物狗的利弊”这一学生熟悉且感兴趣的话题为切入点，巧妙地将德育目标融入语言教学之中。</w:t>
      </w:r>
    </w:p>
    <w:p w14:paraId="646F8218">
      <w:pPr>
        <w:numPr>
          <w:ilvl w:val="0"/>
          <w:numId w:val="5"/>
        </w:numPr>
        <w:spacing w:after="66" w:line="259" w:lineRule="auto"/>
        <w:ind w:left="10" w:leftChars="0" w:firstLineChars="0"/>
        <w:rPr>
          <w:rFonts w:hint="eastAsia" w:eastAsia="宋体" w:cs="宋体"/>
          <w:b/>
          <w:bCs/>
          <w:sz w:val="28"/>
          <w:szCs w:val="24"/>
          <w:lang w:val="en-US" w:eastAsia="zh-CN"/>
        </w:rPr>
      </w:pPr>
      <w:r>
        <w:rPr>
          <w:rFonts w:hint="eastAsia" w:eastAsia="宋体" w:cs="宋体"/>
          <w:b/>
          <w:bCs/>
          <w:sz w:val="28"/>
          <w:szCs w:val="24"/>
          <w:lang w:val="en-US" w:eastAsia="zh-CN"/>
        </w:rPr>
        <w:t>不足：</w:t>
      </w:r>
    </w:p>
    <w:p w14:paraId="60810A8C">
      <w:pPr>
        <w:numPr>
          <w:ilvl w:val="0"/>
          <w:numId w:val="0"/>
        </w:numPr>
        <w:spacing w:after="66" w:line="259" w:lineRule="auto"/>
        <w:rPr>
          <w:rFonts w:hint="eastAsia" w:eastAsia="宋体" w:cs="宋体"/>
          <w:b w:val="0"/>
          <w:bCs w:val="0"/>
          <w:lang w:val="en-US" w:eastAsia="zh-CN"/>
        </w:rPr>
      </w:pPr>
      <w:r>
        <w:rPr>
          <w:rFonts w:hint="eastAsia" w:eastAsia="宋体" w:cs="宋体"/>
          <w:b w:val="0"/>
          <w:bCs w:val="0"/>
          <w:lang w:val="en-US" w:eastAsia="zh-CN"/>
        </w:rPr>
        <w:t>尽管课堂整体流畅高效，但仍存在两点优化空间。</w:t>
      </w:r>
    </w:p>
    <w:p w14:paraId="4948768D">
      <w:pPr>
        <w:numPr>
          <w:ilvl w:val="0"/>
          <w:numId w:val="0"/>
        </w:numPr>
        <w:spacing w:after="66" w:line="259" w:lineRule="auto"/>
        <w:rPr>
          <w:rFonts w:hint="eastAsia" w:eastAsia="宋体" w:cs="宋体"/>
          <w:b w:val="0"/>
          <w:bCs w:val="0"/>
          <w:lang w:val="en-US" w:eastAsia="zh-CN"/>
        </w:rPr>
      </w:pPr>
      <w:r>
        <w:rPr>
          <w:rFonts w:hint="eastAsia" w:eastAsia="宋体" w:cs="宋体"/>
          <w:b/>
          <w:bCs/>
          <w:lang w:val="en-US" w:eastAsia="zh-CN"/>
        </w:rPr>
        <w:t>1、学生发言覆盖面不足：</w:t>
      </w:r>
      <w:r>
        <w:rPr>
          <w:rFonts w:hint="eastAsia" w:eastAsia="宋体" w:cs="宋体"/>
          <w:b w:val="0"/>
          <w:bCs w:val="0"/>
          <w:lang w:val="en-US" w:eastAsia="zh-CN"/>
        </w:rPr>
        <w:t>尽管设计了小组辩论，但部分基础薄弱学生因准备时间有限，未能充分参与观点输出，导致互动深度呈现部分学生主导，部分学生表达机会有限。</w:t>
      </w:r>
    </w:p>
    <w:p w14:paraId="285BD568">
      <w:pPr>
        <w:numPr>
          <w:ilvl w:val="0"/>
          <w:numId w:val="0"/>
        </w:numPr>
        <w:spacing w:after="66" w:line="259" w:lineRule="auto"/>
        <w:rPr>
          <w:rFonts w:hint="eastAsia" w:eastAsia="宋体" w:cs="宋体"/>
          <w:b w:val="0"/>
          <w:bCs w:val="0"/>
          <w:lang w:val="en-US" w:eastAsia="zh-CN"/>
        </w:rPr>
      </w:pPr>
      <w:r>
        <w:rPr>
          <w:rFonts w:hint="eastAsia" w:eastAsia="宋体" w:cs="宋体"/>
          <w:b/>
          <w:bCs/>
          <w:lang w:val="en-US" w:eastAsia="zh-CN"/>
        </w:rPr>
        <w:t>2、节奏把控需更弹性：</w:t>
      </w:r>
      <w:r>
        <w:rPr>
          <w:rFonts w:hint="eastAsia" w:eastAsia="宋体" w:cs="宋体"/>
          <w:b w:val="0"/>
          <w:bCs w:val="0"/>
          <w:lang w:val="en-US" w:eastAsia="zh-CN"/>
        </w:rPr>
        <w:t>在“观点碰撞”环节，教师为完成预设流程稍显急促，部分学生因思考时间不足而依赖小组长观点，未能完全实现“独立思考——个性表达”的迁移目标。</w:t>
      </w:r>
    </w:p>
    <w:p w14:paraId="5A65C76A">
      <w:pPr>
        <w:numPr>
          <w:ilvl w:val="0"/>
          <w:numId w:val="0"/>
        </w:numPr>
        <w:spacing w:after="66" w:line="259" w:lineRule="auto"/>
        <w:rPr>
          <w:rFonts w:hint="eastAsia" w:eastAsia="宋体" w:cs="宋体"/>
          <w:b w:val="0"/>
          <w:bCs w:val="0"/>
          <w:lang w:val="en-US" w:eastAsia="zh-CN"/>
        </w:rPr>
      </w:pPr>
    </w:p>
    <w:p w14:paraId="41791268">
      <w:pPr>
        <w:rPr>
          <w:b w:val="0"/>
          <w:bCs w:val="0"/>
        </w:rPr>
      </w:pPr>
    </w:p>
    <w:p w14:paraId="588524B0">
      <w:pPr>
        <w:rPr>
          <w:rFonts w:hint="eastAsia"/>
        </w:rPr>
      </w:pPr>
    </w:p>
    <w:p w14:paraId="199E2D3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78929A"/>
    <w:multiLevelType w:val="singleLevel"/>
    <w:tmpl w:val="9C78929A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C1060C9A"/>
    <w:multiLevelType w:val="multilevel"/>
    <w:tmpl w:val="C1060C9A"/>
    <w:lvl w:ilvl="0" w:tentative="0">
      <w:start w:val="1"/>
      <w:numFmt w:val="ideographDigital"/>
      <w:lvlText w:val="%1、"/>
      <w:lvlJc w:val="left"/>
      <w:pPr>
        <w:ind w:left="482"/>
      </w:pPr>
      <w:rPr>
        <w:rFonts w:hint="eastAsia" w:ascii="宋体" w:hAnsi="宋体" w:eastAsia="宋体" w:cs="宋体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suff w:val="nothing"/>
      <w:lvlText w:val="%2）"/>
      <w:lvlJc w:val="left"/>
      <w:pPr>
        <w:ind w:left="90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56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28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0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2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44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16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88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">
    <w:nsid w:val="1BB351A5"/>
    <w:multiLevelType w:val="multilevel"/>
    <w:tmpl w:val="1BB351A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220E2809"/>
    <w:multiLevelType w:val="multilevel"/>
    <w:tmpl w:val="220E28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69D416AF"/>
    <w:multiLevelType w:val="singleLevel"/>
    <w:tmpl w:val="69D416AF"/>
    <w:lvl w:ilvl="0" w:tentative="0">
      <w:start w:val="2"/>
      <w:numFmt w:val="chineseCounting"/>
      <w:suff w:val="space"/>
      <w:lvlText w:val="%1、"/>
      <w:lvlJc w:val="left"/>
      <w:pPr>
        <w:ind w:left="-660"/>
      </w:pPr>
      <w:rPr>
        <w:rFonts w:hint="eastAsia"/>
        <w:b/>
        <w:bCs/>
        <w:sz w:val="28"/>
        <w:szCs w:val="28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313ABE"/>
    <w:rsid w:val="42D566AB"/>
    <w:rsid w:val="5131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  <w:style w:type="paragraph" w:customStyle="1" w:styleId="5">
    <w:name w:val="ds-markdown-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1628</Words>
  <Characters>1734</Characters>
  <Lines>0</Lines>
  <Paragraphs>0</Paragraphs>
  <TotalTime>2</TotalTime>
  <ScaleCrop>false</ScaleCrop>
  <LinksUpToDate>false</LinksUpToDate>
  <CharactersWithSpaces>1770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2025-06-26T01:54:00Z</dcterms:created>
  <dc:creator>vivi</dc:creator>
  <cp:lastModifiedBy>vivi</cp:lastModifiedBy>
  <dcterms:modified xsi:type="dcterms:W3CDTF">2025-06-27T03:50:38Z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0CD5CA33A79140429C12FED0CF1B15F9_13</vt:lpwstr>
  </property>
  <property fmtid="{D5CDD505-2E9C-101B-9397-08002B2CF9AE}" pid="4" name="KSOTemplateDocerSaveRecord">
    <vt:lpwstr>eyJoZGlkIjoiMzgwMjY5NTZjN2Q4NmJhZjY2N2Y3MGM2MjE3ZmFjZGQiLCJ1c2VySWQiOiIxMDI2MTk5Nzk5In0=</vt:lpwstr>
  </property>
</Properties>
</file>