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89"/>
        <w:gridCol w:w="8195"/>
      </w:tblGrid>
      <w:tr w14:paraId="60BC9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0" w:type="pct"/>
          </w:tcPr>
          <w:p w14:paraId="131DB85C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bookmarkStart w:id="0" w:name="_GoBack"/>
            <w:bookmarkEnd w:id="0"/>
            <w:r>
              <w:rPr>
                <w:rFonts w:ascii="Times New Roman" w:hAnsi="Times New Roman" w:eastAsia="宋体"/>
                <w:sz w:val="24"/>
                <w:szCs w:val="21"/>
              </w:rPr>
              <w:t>教师姓名</w:t>
            </w:r>
          </w:p>
        </w:tc>
        <w:tc>
          <w:tcPr>
            <w:tcW w:w="3799" w:type="pct"/>
          </w:tcPr>
          <w:p w14:paraId="5493ADDC">
            <w:pPr>
              <w:spacing w:after="0" w:line="240" w:lineRule="auto"/>
              <w:rPr>
                <w:rFonts w:hint="eastAsia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苏晴</w:t>
            </w:r>
          </w:p>
        </w:tc>
      </w:tr>
      <w:tr w14:paraId="22CF4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0" w:type="pct"/>
          </w:tcPr>
          <w:p w14:paraId="4C8630BE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时间</w:t>
            </w:r>
          </w:p>
        </w:tc>
        <w:tc>
          <w:tcPr>
            <w:tcW w:w="3799" w:type="pct"/>
          </w:tcPr>
          <w:p w14:paraId="7DBB6D32">
            <w:pPr>
              <w:spacing w:after="0" w:line="240" w:lineRule="auto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202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6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年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5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月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1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6日 / 第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11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周 / 周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六</w:t>
            </w:r>
            <w:r>
              <w:rPr>
                <w:rFonts w:ascii="Times New Roman" w:hAnsi="Times New Roman" w:eastAsia="宋体"/>
                <w:sz w:val="24"/>
                <w:szCs w:val="21"/>
              </w:rPr>
              <w:t xml:space="preserve"> / 第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val="en-US" w:eastAsia="zh-CN"/>
              </w:rPr>
              <w:t>2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节</w:t>
            </w:r>
          </w:p>
        </w:tc>
      </w:tr>
      <w:tr w14:paraId="108E2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0" w:type="pct"/>
          </w:tcPr>
          <w:p w14:paraId="4FB965CD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班级</w:t>
            </w:r>
          </w:p>
        </w:tc>
        <w:tc>
          <w:tcPr>
            <w:tcW w:w="3799" w:type="pct"/>
          </w:tcPr>
          <w:p w14:paraId="26DE0B2A">
            <w:pPr>
              <w:spacing w:after="0" w:line="240" w:lineRule="auto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初一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val="en-US" w:eastAsia="zh-CN"/>
              </w:rPr>
              <w:t>7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班</w:t>
            </w:r>
          </w:p>
        </w:tc>
      </w:tr>
      <w:tr w14:paraId="5FA08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0" w:type="pct"/>
          </w:tcPr>
          <w:p w14:paraId="3D58F964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地点</w:t>
            </w:r>
          </w:p>
        </w:tc>
        <w:tc>
          <w:tcPr>
            <w:tcW w:w="3799" w:type="pct"/>
          </w:tcPr>
          <w:p w14:paraId="54A48E24">
            <w:pPr>
              <w:spacing w:after="0" w:line="240" w:lineRule="auto"/>
              <w:rPr>
                <w:rFonts w:hint="default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初一7班</w:t>
            </w:r>
          </w:p>
        </w:tc>
      </w:tr>
      <w:tr w14:paraId="35FEE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0" w:type="pct"/>
          </w:tcPr>
          <w:p w14:paraId="66ACE11F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课题</w:t>
            </w:r>
          </w:p>
        </w:tc>
        <w:tc>
          <w:tcPr>
            <w:tcW w:w="3799" w:type="pct"/>
          </w:tcPr>
          <w:p w14:paraId="50BAF5D7">
            <w:pPr>
              <w:spacing w:after="0" w:line="240" w:lineRule="auto"/>
              <w:rPr>
                <w:rFonts w:hint="default" w:eastAsia="宋体"/>
                <w:sz w:val="24"/>
                <w:szCs w:val="21"/>
                <w:lang w:val="en-US" w:eastAsia="zh-CN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7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B</w:t>
            </w:r>
            <w:r>
              <w:rPr>
                <w:rFonts w:ascii="Times New Roman" w:hAnsi="Times New Roman" w:eastAsia="宋体"/>
                <w:sz w:val="24"/>
                <w:szCs w:val="21"/>
              </w:rPr>
              <w:t xml:space="preserve"> Unit 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val="en-US" w:eastAsia="zh-CN"/>
              </w:rPr>
              <w:t>6 Electricity Everywhere</w:t>
            </w:r>
          </w:p>
        </w:tc>
      </w:tr>
      <w:tr w14:paraId="764D7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0" w:type="pct"/>
          </w:tcPr>
          <w:p w14:paraId="7B8EE0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eastAsia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亮点</w:t>
            </w:r>
          </w:p>
        </w:tc>
        <w:tc>
          <w:tcPr>
            <w:tcW w:w="3799" w:type="pct"/>
          </w:tcPr>
          <w:p w14:paraId="0A6F51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一</w:t>
            </w:r>
            <w:r>
              <w:rPr>
                <w:rFonts w:hint="default" w:eastAsia="宋体"/>
                <w:sz w:val="24"/>
                <w:szCs w:val="21"/>
                <w:lang w:val="en-US" w:eastAsia="zh-CN"/>
              </w:rPr>
              <w:t>、读前读中读后各有侧重，层次感强</w:t>
            </w:r>
          </w:p>
          <w:p w14:paraId="2A32F6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auto"/>
              <w:rPr>
                <w:rFonts w:hint="default" w:eastAsia="宋体"/>
                <w:sz w:val="24"/>
                <w:szCs w:val="21"/>
                <w:lang w:val="en-US" w:eastAsia="zh-CN"/>
              </w:rPr>
            </w:pPr>
            <w:r>
              <w:rPr>
                <w:rFonts w:hint="default" w:eastAsia="宋体"/>
                <w:sz w:val="24"/>
                <w:szCs w:val="21"/>
                <w:lang w:val="en-US" w:eastAsia="zh-CN"/>
              </w:rPr>
              <w:t>读前先聊电的用途和发电方式，激活学生已有的常识，为进入文本做铺垫。读中从段落匹配、到表格填空、再到选择题，一步一步从整体到细节，学生跟得不费劲。读后还有时态填空和复述任务，检测</w:t>
            </w: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语言知识和语言运用</w:t>
            </w:r>
            <w:r>
              <w:rPr>
                <w:rFonts w:hint="default" w:eastAsia="宋体"/>
                <w:sz w:val="24"/>
                <w:szCs w:val="21"/>
                <w:lang w:val="en-US" w:eastAsia="zh-CN"/>
              </w:rPr>
              <w:t>。三个环节做什么、达到什么目的，很清楚。</w:t>
            </w:r>
          </w:p>
          <w:p w14:paraId="7586F6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二</w:t>
            </w:r>
            <w:r>
              <w:rPr>
                <w:rFonts w:hint="default" w:eastAsia="宋体"/>
                <w:sz w:val="24"/>
                <w:szCs w:val="21"/>
                <w:lang w:val="en-US" w:eastAsia="zh-CN"/>
              </w:rPr>
              <w:t>、课堂活动形式比较多，学生</w:t>
            </w: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专注</w:t>
            </w:r>
          </w:p>
          <w:p w14:paraId="093B64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auto"/>
              <w:rPr>
                <w:rFonts w:hint="default" w:eastAsia="宋体"/>
                <w:sz w:val="24"/>
                <w:szCs w:val="21"/>
                <w:lang w:val="en-US" w:eastAsia="zh-CN"/>
              </w:rPr>
            </w:pPr>
            <w:r>
              <w:rPr>
                <w:rFonts w:hint="default" w:eastAsia="宋体"/>
                <w:sz w:val="24"/>
                <w:szCs w:val="21"/>
                <w:lang w:val="en-US" w:eastAsia="zh-CN"/>
              </w:rPr>
              <w:t>有问答、有填表、有选择题、有时态填空，最后还让学生画思维导图复述课文。听说读写都照顾到了，不同层次的学生都有能参与进来的环节，课堂节奏紧凑，学生忙着读、忙着写、忙着想，</w:t>
            </w: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总体比较专注</w:t>
            </w:r>
            <w:r>
              <w:rPr>
                <w:rFonts w:hint="default" w:eastAsia="宋体"/>
                <w:sz w:val="24"/>
                <w:szCs w:val="21"/>
                <w:lang w:val="en-US" w:eastAsia="zh-CN"/>
              </w:rPr>
              <w:t>。</w:t>
            </w:r>
          </w:p>
          <w:p w14:paraId="6DF1D3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eastAsia="宋体"/>
                <w:sz w:val="24"/>
                <w:szCs w:val="21"/>
                <w:lang w:val="en-US" w:eastAsia="zh-CN"/>
              </w:rPr>
            </w:pPr>
          </w:p>
        </w:tc>
      </w:tr>
      <w:tr w14:paraId="67CA9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0" w:type="pct"/>
          </w:tcPr>
          <w:p w14:paraId="40E25B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eastAsia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不足</w:t>
            </w:r>
          </w:p>
        </w:tc>
        <w:tc>
          <w:tcPr>
            <w:tcW w:w="3799" w:type="pct"/>
          </w:tcPr>
          <w:p w14:paraId="07078C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eastAsia" w:eastAsia="宋体" w:cstheme="minorBidi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HAnsi" w:hAnsiTheme="minorHAnsi" w:cstheme="minorBidi"/>
                <w:sz w:val="24"/>
                <w:szCs w:val="21"/>
                <w:lang w:val="en-US" w:eastAsia="zh-CN" w:bidi="ar-SA"/>
              </w:rPr>
              <w:t>语言输出部分</w:t>
            </w:r>
            <w:r>
              <w:rPr>
                <w:rFonts w:hint="eastAsia" w:eastAsia="宋体" w:cstheme="minorBidi"/>
                <w:sz w:val="24"/>
                <w:szCs w:val="21"/>
                <w:lang w:val="en-US" w:eastAsia="zh-CN" w:bidi="ar-SA"/>
              </w:rPr>
              <w:t>停留在</w:t>
            </w:r>
            <w:r>
              <w:rPr>
                <w:rFonts w:hint="default" w:ascii="Times New Roman" w:hAnsi="Times New Roman" w:eastAsia="宋体" w:cs="Times New Roman"/>
                <w:sz w:val="24"/>
                <w:szCs w:val="21"/>
                <w:lang w:val="en-US" w:eastAsia="zh-CN" w:bidi="ar-SA"/>
              </w:rPr>
              <w:t>retell the story</w:t>
            </w:r>
            <w:r>
              <w:rPr>
                <w:rFonts w:hint="eastAsia" w:eastAsia="宋体" w:cstheme="minorBidi"/>
                <w:sz w:val="24"/>
                <w:szCs w:val="21"/>
                <w:lang w:val="en-US" w:eastAsia="zh-CN" w:bidi="ar-SA"/>
              </w:rPr>
              <w:t>，虽然准备了开放性问题，但是低估了</w:t>
            </w:r>
            <w:r>
              <w:rPr>
                <w:rFonts w:hint="default" w:ascii="Times New Roman" w:hAnsi="Times New Roman" w:eastAsia="宋体" w:cs="Times New Roman"/>
                <w:sz w:val="24"/>
                <w:szCs w:val="21"/>
                <w:lang w:val="en-US" w:eastAsia="zh-CN" w:bidi="ar-SA"/>
              </w:rPr>
              <w:t>retell</w:t>
            </w:r>
            <w:r>
              <w:rPr>
                <w:rFonts w:hint="eastAsia" w:eastAsia="宋体" w:cstheme="minorBidi"/>
                <w:sz w:val="24"/>
                <w:szCs w:val="21"/>
                <w:lang w:val="en-US" w:eastAsia="zh-CN" w:bidi="ar-SA"/>
              </w:rPr>
              <w:t>对于学生的难度，导致没有机会操作思维训练。</w:t>
            </w:r>
          </w:p>
          <w:p w14:paraId="61F5FC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eastAsia="宋体" w:cstheme="minorBidi"/>
                <w:sz w:val="24"/>
                <w:szCs w:val="21"/>
                <w:lang w:val="en-US" w:eastAsia="zh-CN" w:bidi="ar-SA"/>
              </w:rPr>
            </w:pPr>
          </w:p>
        </w:tc>
      </w:tr>
      <w:tr w14:paraId="4B5055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0" w:type="pct"/>
          </w:tcPr>
          <w:p w14:paraId="0988D2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eastAsia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改进</w:t>
            </w:r>
          </w:p>
        </w:tc>
        <w:tc>
          <w:tcPr>
            <w:tcW w:w="3799" w:type="pct"/>
          </w:tcPr>
          <w:p w14:paraId="7ADA72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eastAsia="宋体" w:asciiTheme="minorHAnsi" w:hAnsiTheme="minorHAnsi" w:cstheme="minorBidi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HAnsi" w:hAnsiTheme="minorHAnsi" w:cstheme="minorBidi"/>
                <w:sz w:val="24"/>
                <w:szCs w:val="21"/>
                <w:lang w:val="en-US" w:eastAsia="zh-CN" w:bidi="ar-SA"/>
              </w:rPr>
              <w:t>降低故事复述操作层面难度，给足提示，不要求学生回忆或记忆，重在练习语言、组织语言。</w:t>
            </w:r>
          </w:p>
        </w:tc>
      </w:tr>
    </w:tbl>
    <w:p w14:paraId="30ED5D46"/>
    <w:p w14:paraId="0EB11FC1"/>
    <w:p w14:paraId="1C5F76AB"/>
    <w:p w14:paraId="066C91DE"/>
    <w:p w14:paraId="009A449F"/>
    <w:p w14:paraId="7AC1C2F2"/>
    <w:p w14:paraId="44A160BB"/>
    <w:p w14:paraId="5A7DA3C5"/>
    <w:p w14:paraId="668DE63F"/>
    <w:p w14:paraId="67697077"/>
    <w:p w14:paraId="3ACE57D5"/>
    <w:p w14:paraId="61B2E7AB"/>
    <w:p w14:paraId="72A745C4"/>
    <w:p w14:paraId="59660891"/>
    <w:p w14:paraId="362BD735"/>
    <w:p w14:paraId="00099ED2"/>
    <w:p w14:paraId="3C7E0E6C"/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89"/>
        <w:gridCol w:w="8195"/>
      </w:tblGrid>
      <w:tr w14:paraId="5E823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0" w:type="pct"/>
          </w:tcPr>
          <w:p w14:paraId="19E80BC2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教师姓名</w:t>
            </w:r>
          </w:p>
        </w:tc>
        <w:tc>
          <w:tcPr>
            <w:tcW w:w="3799" w:type="pct"/>
          </w:tcPr>
          <w:p w14:paraId="4CA39295">
            <w:pPr>
              <w:spacing w:after="0" w:line="240" w:lineRule="auto"/>
              <w:rPr>
                <w:rFonts w:hint="default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劳翠月</w:t>
            </w:r>
          </w:p>
        </w:tc>
      </w:tr>
      <w:tr w14:paraId="767D1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0" w:type="pct"/>
          </w:tcPr>
          <w:p w14:paraId="0DE74238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时间</w:t>
            </w:r>
          </w:p>
        </w:tc>
        <w:tc>
          <w:tcPr>
            <w:tcW w:w="3799" w:type="pct"/>
          </w:tcPr>
          <w:p w14:paraId="757B0829">
            <w:pPr>
              <w:spacing w:after="0" w:line="240" w:lineRule="auto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202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6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年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5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月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1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6日 / 第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11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周 / 周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六</w:t>
            </w:r>
            <w:r>
              <w:rPr>
                <w:rFonts w:ascii="Times New Roman" w:hAnsi="Times New Roman" w:eastAsia="宋体"/>
                <w:sz w:val="24"/>
                <w:szCs w:val="21"/>
              </w:rPr>
              <w:t xml:space="preserve"> / 第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val="en-US" w:eastAsia="zh-CN"/>
              </w:rPr>
              <w:t>4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节</w:t>
            </w:r>
          </w:p>
        </w:tc>
      </w:tr>
      <w:tr w14:paraId="321C0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0" w:type="pct"/>
          </w:tcPr>
          <w:p w14:paraId="7BA6A3EF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班级</w:t>
            </w:r>
          </w:p>
        </w:tc>
        <w:tc>
          <w:tcPr>
            <w:tcW w:w="3799" w:type="pct"/>
          </w:tcPr>
          <w:p w14:paraId="59038756">
            <w:pPr>
              <w:spacing w:after="0" w:line="240" w:lineRule="auto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初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val="en-US" w:eastAsia="zh-CN"/>
              </w:rPr>
              <w:t>二日语拓展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班</w:t>
            </w:r>
          </w:p>
        </w:tc>
      </w:tr>
      <w:tr w14:paraId="2E6A1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0" w:type="pct"/>
          </w:tcPr>
          <w:p w14:paraId="56D4DA1B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地点</w:t>
            </w:r>
          </w:p>
        </w:tc>
        <w:tc>
          <w:tcPr>
            <w:tcW w:w="3799" w:type="pct"/>
          </w:tcPr>
          <w:p w14:paraId="6159E21A">
            <w:pPr>
              <w:spacing w:after="0" w:line="240" w:lineRule="auto"/>
              <w:rPr>
                <w:rFonts w:hint="default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初二1班</w:t>
            </w:r>
          </w:p>
        </w:tc>
      </w:tr>
      <w:tr w14:paraId="6D5A1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0" w:type="pct"/>
          </w:tcPr>
          <w:p w14:paraId="5E37CAEE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课题</w:t>
            </w:r>
          </w:p>
        </w:tc>
        <w:tc>
          <w:tcPr>
            <w:tcW w:w="3799" w:type="pct"/>
          </w:tcPr>
          <w:p w14:paraId="5625E091">
            <w:pPr>
              <w:spacing w:after="0" w:line="240" w:lineRule="auto"/>
              <w:rPr>
                <w:rFonts w:hint="default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日式和果子制作体验</w:t>
            </w:r>
          </w:p>
        </w:tc>
      </w:tr>
      <w:tr w14:paraId="5BAD2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0" w:type="pct"/>
          </w:tcPr>
          <w:p w14:paraId="3E60AC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eastAsia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亮点</w:t>
            </w:r>
          </w:p>
        </w:tc>
        <w:tc>
          <w:tcPr>
            <w:tcW w:w="3799" w:type="pct"/>
          </w:tcPr>
          <w:p w14:paraId="76F74196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eastAsia="宋体"/>
                <w:sz w:val="24"/>
                <w:szCs w:val="21"/>
                <w:lang w:val="en-US" w:eastAsia="zh-CN"/>
              </w:rPr>
            </w:pPr>
            <w:r>
              <w:rPr>
                <w:rFonts w:hint="default" w:eastAsia="宋体"/>
                <w:sz w:val="24"/>
                <w:szCs w:val="21"/>
                <w:lang w:val="en-US" w:eastAsia="zh-CN"/>
              </w:rPr>
              <w:t>实操落地到位，学生成果突出</w:t>
            </w: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。</w:t>
            </w:r>
            <w:r>
              <w:rPr>
                <w:rFonts w:hint="default" w:eastAsia="宋体"/>
                <w:sz w:val="24"/>
                <w:szCs w:val="21"/>
                <w:lang w:val="en-US" w:eastAsia="zh-CN"/>
              </w:rPr>
              <w:t xml:space="preserve">完整拆解揉皮、调色、包馅、塑形、装饰全套制作流程，全程引导学生细致操作；课堂参与积极性高，绝大多数学生耐心打磨造型，独立完成造型精致、配色协调的和果子作品，动手实践目标圆满达成。 </w:t>
            </w:r>
          </w:p>
          <w:p w14:paraId="4988E784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eastAsia="宋体"/>
                <w:sz w:val="24"/>
                <w:szCs w:val="21"/>
                <w:lang w:val="en-US" w:eastAsia="zh-CN"/>
              </w:rPr>
            </w:pPr>
            <w:r>
              <w:rPr>
                <w:rFonts w:hint="default" w:eastAsia="宋体"/>
                <w:sz w:val="24"/>
                <w:szCs w:val="21"/>
                <w:lang w:val="en-US" w:eastAsia="zh-CN"/>
              </w:rPr>
              <w:t>深挖匠心精神，实现育人价值</w:t>
            </w: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。</w:t>
            </w:r>
            <w:r>
              <w:rPr>
                <w:rFonts w:hint="default" w:eastAsia="宋体"/>
                <w:sz w:val="24"/>
                <w:szCs w:val="21"/>
                <w:lang w:val="en-US" w:eastAsia="zh-CN"/>
              </w:rPr>
              <w:t xml:space="preserve">依托和果子工序繁琐、讲究细节的特点，引导学生感受制作者精准控料、反复打磨、追求完美的匠人内核，把劳动专注、精益求精的品质教育融入手工课堂，做到以劳育人。 </w:t>
            </w:r>
          </w:p>
        </w:tc>
      </w:tr>
      <w:tr w14:paraId="20666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0" w:type="pct"/>
          </w:tcPr>
          <w:p w14:paraId="605CB9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eastAsia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不足</w:t>
            </w:r>
          </w:p>
        </w:tc>
        <w:tc>
          <w:tcPr>
            <w:tcW w:w="3799" w:type="pct"/>
          </w:tcPr>
          <w:p w14:paraId="6BEED7C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eastAsia" w:eastAsia="宋体" w:asciiTheme="minorHAnsi" w:hAnsiTheme="minorHAnsi" w:cstheme="minorBidi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HAnsi" w:hAnsiTheme="minorHAnsi" w:cstheme="minorBidi"/>
                <w:sz w:val="24"/>
                <w:szCs w:val="21"/>
                <w:lang w:val="en-US" w:eastAsia="zh-CN" w:bidi="ar-SA"/>
              </w:rPr>
              <w:t>文化拓展深度有限</w:t>
            </w:r>
            <w:r>
              <w:rPr>
                <w:rFonts w:hint="eastAsia" w:eastAsia="宋体" w:cstheme="minorBidi"/>
                <w:sz w:val="24"/>
                <w:szCs w:val="21"/>
                <w:lang w:val="en-US" w:eastAsia="zh-CN" w:bidi="ar-SA"/>
              </w:rPr>
              <w:t>。</w:t>
            </w:r>
            <w:r>
              <w:rPr>
                <w:rFonts w:hint="eastAsia" w:eastAsia="宋体" w:asciiTheme="minorHAnsi" w:hAnsiTheme="minorHAnsi" w:cstheme="minorBidi"/>
                <w:sz w:val="24"/>
                <w:szCs w:val="21"/>
                <w:lang w:val="en-US" w:eastAsia="zh-CN" w:bidi="ar-SA"/>
              </w:rPr>
              <w:t xml:space="preserve">仅简单介绍和果子基础分类，缺少不同地域和果子流派、传统节庆点心的拓展内容，学生对文化背后的民俗、历史理解较为浅显。 </w:t>
            </w:r>
          </w:p>
          <w:p w14:paraId="0C671CE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eastAsia="宋体" w:cstheme="minorBidi"/>
                <w:sz w:val="24"/>
                <w:szCs w:val="21"/>
                <w:lang w:val="en-US" w:eastAsia="zh-CN" w:bidi="ar-SA"/>
              </w:rPr>
            </w:pPr>
          </w:p>
        </w:tc>
      </w:tr>
      <w:tr w14:paraId="08B7C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0" w:type="pct"/>
          </w:tcPr>
          <w:p w14:paraId="4BCCFA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eastAsia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1"/>
                <w:lang w:val="en-US" w:eastAsia="zh-CN"/>
              </w:rPr>
              <w:t>改进</w:t>
            </w:r>
          </w:p>
        </w:tc>
        <w:tc>
          <w:tcPr>
            <w:tcW w:w="3799" w:type="pct"/>
          </w:tcPr>
          <w:p w14:paraId="2A542E67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52" w:leftChars="0" w:firstLine="0" w:firstLineChars="0"/>
              <w:textAlignment w:val="auto"/>
              <w:rPr>
                <w:rFonts w:hint="eastAsia" w:eastAsia="宋体" w:asciiTheme="minorHAnsi" w:hAnsiTheme="minorHAnsi" w:cstheme="minorBidi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HAnsi" w:hAnsiTheme="minorHAnsi" w:cstheme="minorBidi"/>
                <w:sz w:val="24"/>
                <w:szCs w:val="21"/>
                <w:lang w:val="en-US" w:eastAsia="zh-CN" w:bidi="ar-SA"/>
              </w:rPr>
              <w:t>丰富文化教学内容，拓宽认知视野</w:t>
            </w:r>
            <w:r>
              <w:rPr>
                <w:rFonts w:hint="eastAsia" w:eastAsia="宋体" w:cstheme="minorBidi"/>
                <w:sz w:val="24"/>
                <w:szCs w:val="21"/>
                <w:lang w:val="en-US" w:eastAsia="zh-CN" w:bidi="ar-SA"/>
              </w:rPr>
              <w:t>。</w:t>
            </w:r>
            <w:r>
              <w:rPr>
                <w:rFonts w:hint="eastAsia" w:eastAsia="宋体" w:asciiTheme="minorHAnsi" w:hAnsiTheme="minorHAnsi" w:cstheme="minorBidi"/>
                <w:sz w:val="24"/>
                <w:szCs w:val="21"/>
                <w:lang w:val="en-US" w:eastAsia="zh-CN" w:bidi="ar-SA"/>
              </w:rPr>
              <w:t>补充京菓子、关东菓子区别，结合樱花祭、中秋等传统节日点心案例，搭配图文、短视频讲解民俗背景，增加文化问答小互动，加深学生理解。</w:t>
            </w:r>
          </w:p>
          <w:p w14:paraId="1F941689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52" w:leftChars="0" w:firstLine="0" w:firstLineChars="0"/>
              <w:textAlignment w:val="auto"/>
              <w:rPr>
                <w:rFonts w:hint="eastAsia" w:eastAsia="宋体" w:asciiTheme="minorHAnsi" w:hAnsiTheme="minorHAnsi" w:cstheme="minorBidi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HAnsi" w:hAnsiTheme="minorHAnsi" w:cstheme="minorBidi"/>
                <w:sz w:val="24"/>
                <w:szCs w:val="21"/>
                <w:lang w:val="en-US" w:eastAsia="zh-CN" w:bidi="ar-SA"/>
              </w:rPr>
              <w:t xml:space="preserve"> 完善课堂评价展示体系</w:t>
            </w:r>
            <w:r>
              <w:rPr>
                <w:rFonts w:hint="eastAsia" w:eastAsia="宋体" w:cstheme="minorBidi"/>
                <w:sz w:val="24"/>
                <w:szCs w:val="21"/>
                <w:lang w:val="en-US" w:eastAsia="zh-CN" w:bidi="ar-SA"/>
              </w:rPr>
              <w:t>。</w:t>
            </w:r>
            <w:r>
              <w:rPr>
                <w:rFonts w:hint="eastAsia" w:eastAsia="宋体" w:asciiTheme="minorHAnsi" w:hAnsiTheme="minorHAnsi" w:cstheme="minorBidi"/>
                <w:sz w:val="24"/>
                <w:szCs w:val="21"/>
                <w:lang w:val="en-US" w:eastAsia="zh-CN" w:bidi="ar-SA"/>
              </w:rPr>
              <w:t xml:space="preserve">增设“菓子作品展台”，预留10分钟小组分享，学生介绍自己作品的造型寓意，师生共同从外观、创意、做工三方面点评，强化匠心精神感悟。 </w:t>
            </w:r>
          </w:p>
        </w:tc>
      </w:tr>
    </w:tbl>
    <w:p w14:paraId="1B485951"/>
    <w:p w14:paraId="509661FB"/>
    <w:p w14:paraId="1B12B4C1"/>
    <w:p w14:paraId="667B516A"/>
    <w:p w14:paraId="725BA5BF"/>
    <w:p w14:paraId="52EE8731"/>
    <w:p w14:paraId="403FBC04"/>
    <w:p w14:paraId="5A9DCF87"/>
    <w:p w14:paraId="5AD1B258"/>
    <w:p w14:paraId="30D05BB3"/>
    <w:p w14:paraId="168663F9"/>
    <w:p w14:paraId="69715EB4"/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4"/>
        <w:gridCol w:w="7870"/>
      </w:tblGrid>
      <w:tr w14:paraId="393D2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pct"/>
          </w:tcPr>
          <w:p w14:paraId="51254AD8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教师姓名</w:t>
            </w:r>
          </w:p>
        </w:tc>
        <w:tc>
          <w:tcPr>
            <w:tcW w:w="3649" w:type="pct"/>
          </w:tcPr>
          <w:p w14:paraId="3FCDBB5E">
            <w:pPr>
              <w:spacing w:after="0" w:line="240" w:lineRule="auto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罗冠先</w:t>
            </w:r>
          </w:p>
        </w:tc>
      </w:tr>
      <w:tr w14:paraId="22965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pct"/>
          </w:tcPr>
          <w:p w14:paraId="23004712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时间</w:t>
            </w:r>
          </w:p>
        </w:tc>
        <w:tc>
          <w:tcPr>
            <w:tcW w:w="3649" w:type="pct"/>
          </w:tcPr>
          <w:p w14:paraId="78D74047">
            <w:pPr>
              <w:spacing w:after="0" w:line="240" w:lineRule="auto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202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6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年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5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月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1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6日 / 第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11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周 / 周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六</w:t>
            </w:r>
            <w:r>
              <w:rPr>
                <w:rFonts w:ascii="Times New Roman" w:hAnsi="Times New Roman" w:eastAsia="宋体"/>
                <w:sz w:val="24"/>
                <w:szCs w:val="21"/>
              </w:rPr>
              <w:t xml:space="preserve"> / 第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2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节</w:t>
            </w:r>
          </w:p>
        </w:tc>
      </w:tr>
      <w:tr w14:paraId="4CB94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pct"/>
          </w:tcPr>
          <w:p w14:paraId="6893F8B8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班级</w:t>
            </w:r>
          </w:p>
        </w:tc>
        <w:tc>
          <w:tcPr>
            <w:tcW w:w="3649" w:type="pct"/>
          </w:tcPr>
          <w:p w14:paraId="13064442">
            <w:pPr>
              <w:spacing w:after="0" w:line="240" w:lineRule="auto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初一10班</w:t>
            </w:r>
          </w:p>
        </w:tc>
      </w:tr>
      <w:tr w14:paraId="16773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pct"/>
          </w:tcPr>
          <w:p w14:paraId="5D9E3B21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地点</w:t>
            </w:r>
          </w:p>
        </w:tc>
        <w:tc>
          <w:tcPr>
            <w:tcW w:w="3649" w:type="pct"/>
          </w:tcPr>
          <w:p w14:paraId="476DE594">
            <w:pPr>
              <w:spacing w:after="0" w:line="240" w:lineRule="auto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录播室</w:t>
            </w:r>
          </w:p>
        </w:tc>
      </w:tr>
      <w:tr w14:paraId="2BACE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pct"/>
          </w:tcPr>
          <w:p w14:paraId="3BE999B3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课题</w:t>
            </w:r>
          </w:p>
        </w:tc>
        <w:tc>
          <w:tcPr>
            <w:tcW w:w="3649" w:type="pct"/>
          </w:tcPr>
          <w:p w14:paraId="630CA4E0">
            <w:pPr>
              <w:spacing w:after="0" w:line="240" w:lineRule="auto"/>
              <w:rPr>
                <w:sz w:val="24"/>
                <w:szCs w:val="21"/>
                <w:lang w:eastAsia="zh-CN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7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B</w:t>
            </w:r>
            <w:r>
              <w:rPr>
                <w:rFonts w:ascii="Times New Roman" w:hAnsi="Times New Roman" w:eastAsia="宋体"/>
                <w:sz w:val="24"/>
                <w:szCs w:val="21"/>
              </w:rPr>
              <w:t xml:space="preserve"> Unit 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5</w:t>
            </w:r>
            <w:r>
              <w:rPr>
                <w:rFonts w:ascii="Times New Roman" w:hAnsi="Times New Roman" w:eastAsia="宋体"/>
                <w:sz w:val="24"/>
                <w:szCs w:val="21"/>
              </w:rPr>
              <w:t xml:space="preserve"> </w:t>
            </w:r>
            <w:r>
              <w:rPr>
                <w:rFonts w:hint="eastAsia" w:ascii="Times New Roman" w:hAnsi="Times New Roman" w:eastAsia="宋体"/>
                <w:sz w:val="24"/>
                <w:szCs w:val="21"/>
                <w:lang w:eastAsia="zh-CN"/>
              </w:rPr>
              <w:t>跨学科Water</w:t>
            </w:r>
            <w:r>
              <w:rPr>
                <w:rFonts w:ascii="Times New Roman" w:hAnsi="Times New Roman" w:eastAsia="宋体"/>
                <w:sz w:val="24"/>
                <w:szCs w:val="21"/>
                <w:lang w:eastAsia="zh-CN"/>
              </w:rPr>
              <w:t xml:space="preserve"> is life</w:t>
            </w:r>
          </w:p>
        </w:tc>
      </w:tr>
      <w:tr w14:paraId="25110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pct"/>
          </w:tcPr>
          <w:p w14:paraId="5303C4BE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亮点</w:t>
            </w:r>
          </w:p>
        </w:tc>
        <w:tc>
          <w:tcPr>
            <w:tcW w:w="3649" w:type="pct"/>
          </w:tcPr>
          <w:p w14:paraId="16F8F1D1">
            <w:pPr>
              <w:numPr>
                <w:ilvl w:val="0"/>
                <w:numId w:val="3"/>
              </w:numPr>
              <w:tabs>
                <w:tab w:val="left" w:pos="720"/>
              </w:tabs>
              <w:spacing w:after="0" w:line="240" w:lineRule="auto"/>
              <w:ind w:left="357" w:firstLine="0"/>
              <w:rPr>
                <w:rFonts w:ascii="Times New Roman" w:hAnsi="Times New Roman" w:eastAsia="宋体"/>
                <w:sz w:val="24"/>
                <w:szCs w:val="21"/>
                <w:lang w:eastAsia="zh-CN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1"/>
                <w:lang w:eastAsia="zh-CN"/>
              </w:rPr>
              <w:t>跨学科融合，培养高阶思维能力</w:t>
            </w:r>
            <w:r>
              <w:rPr>
                <w:rFonts w:ascii="Times New Roman" w:hAnsi="Times New Roman" w:eastAsia="宋体"/>
                <w:sz w:val="24"/>
                <w:szCs w:val="21"/>
                <w:lang w:eastAsia="zh-CN"/>
              </w:rPr>
              <w:br w:type="textWrapping"/>
            </w:r>
            <w:r>
              <w:rPr>
                <w:rFonts w:ascii="Times New Roman" w:hAnsi="Times New Roman" w:eastAsia="宋体"/>
                <w:sz w:val="24"/>
                <w:szCs w:val="21"/>
                <w:lang w:eastAsia="zh-CN"/>
              </w:rPr>
              <w:t>本节课打破了传统的英语语言教学框架，深度融合了生物学知识。在“内容促成”环节，学生不仅需要提取新生儿（70-80%）、成年男性（60%）和女性（55%）的水分占比，还要关注尿液（1.5L）和汗液（500ml）的流失途径，以及缺水带来的不同后果（&gt;5% 感到 tired，&gt;10% 感到 ill）。特别是设计的思考题：“为什么出汗仅流失 500ml，每天仍需喝 2-3 升水？”，极大地激发了学生的探究欲，有效锻炼了他们的数据转换能力与批判性思维。</w:t>
            </w:r>
          </w:p>
          <w:p w14:paraId="1BCF9C2E">
            <w:pPr>
              <w:numPr>
                <w:ilvl w:val="0"/>
                <w:numId w:val="3"/>
              </w:numPr>
              <w:tabs>
                <w:tab w:val="left" w:pos="720"/>
              </w:tabs>
              <w:spacing w:after="0" w:line="240" w:lineRule="auto"/>
              <w:ind w:left="357" w:firstLine="0"/>
              <w:rPr>
                <w:rFonts w:ascii="Times New Roman" w:hAnsi="Times New Roman" w:eastAsia="宋体"/>
                <w:sz w:val="24"/>
                <w:szCs w:val="21"/>
                <w:lang w:eastAsia="zh-CN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1"/>
                <w:lang w:eastAsia="zh-CN"/>
              </w:rPr>
              <w:t>脚手架搭建扎实，任务产出高效闭环</w:t>
            </w:r>
            <w:r>
              <w:rPr>
                <w:rFonts w:ascii="Times New Roman" w:hAnsi="Times New Roman" w:eastAsia="宋体"/>
                <w:sz w:val="24"/>
                <w:szCs w:val="21"/>
                <w:lang w:eastAsia="zh-CN"/>
              </w:rPr>
              <w:br w:type="textWrapping"/>
            </w:r>
            <w:r>
              <w:rPr>
                <w:rFonts w:ascii="Times New Roman" w:hAnsi="Times New Roman" w:eastAsia="宋体"/>
                <w:sz w:val="24"/>
                <w:szCs w:val="21"/>
                <w:lang w:eastAsia="zh-CN"/>
              </w:rPr>
              <w:t>作为一堂“以读促说课”，语言输出是关键。在“语言促成”环节，我通过连线匹配和翻译练习，帮助学生内化了 if-clause 条件句以及表达百分比的目标词组 make up 和 be made up of。在最后的“健康大使宣讲”产出任务中，为学生提供了明确的句型支架和 5-Star 评价标准（涵盖数据准确度、语言使用、宣讲风采）。这使得学生能够自信地用英语完成跨学科知识的公众宣讲。课后布置的“迷你海报（Mini-Poster）”作业，也巧妙地延续了课堂任务，让学生在真实生活中运用含有 “If...” 的句型和课文数据给出建议。</w:t>
            </w:r>
          </w:p>
        </w:tc>
      </w:tr>
      <w:tr w14:paraId="36431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pct"/>
          </w:tcPr>
          <w:p w14:paraId="235D6893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不足</w:t>
            </w:r>
          </w:p>
        </w:tc>
        <w:tc>
          <w:tcPr>
            <w:tcW w:w="3649" w:type="pct"/>
          </w:tcPr>
          <w:p w14:paraId="1174A6D9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宋体"/>
                <w:sz w:val="24"/>
                <w:szCs w:val="21"/>
                <w:lang w:eastAsia="zh-CN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1"/>
                <w:lang w:eastAsia="zh-CN"/>
              </w:rPr>
              <w:t>时间分配的把控有待优化</w:t>
            </w:r>
            <w:r>
              <w:rPr>
                <w:rFonts w:ascii="Times New Roman" w:hAnsi="Times New Roman" w:eastAsia="宋体"/>
                <w:sz w:val="24"/>
                <w:szCs w:val="21"/>
                <w:lang w:eastAsia="zh-CN"/>
              </w:rPr>
              <w:br w:type="textWrapping"/>
            </w:r>
            <w:r>
              <w:rPr>
                <w:rFonts w:ascii="Times New Roman" w:hAnsi="Times New Roman" w:eastAsia="宋体"/>
                <w:sz w:val="24"/>
                <w:szCs w:val="21"/>
                <w:lang w:eastAsia="zh-CN"/>
              </w:rPr>
              <w:t>在引导学生讨论“为什么每天仍需喝 2-3 升水”这一高阶思维问题时，学生的参与热情很高，导致该环节用时超出预期。这在一定程度上压缩了最后小组 Role Play 宣讲的时间，部分小组未能充分展示。</w:t>
            </w:r>
          </w:p>
        </w:tc>
      </w:tr>
      <w:tr w14:paraId="3391BB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pct"/>
          </w:tcPr>
          <w:p w14:paraId="07074FA3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r>
              <w:rPr>
                <w:rFonts w:ascii="Times New Roman" w:hAnsi="Times New Roman" w:eastAsia="宋体"/>
                <w:sz w:val="24"/>
                <w:szCs w:val="21"/>
              </w:rPr>
              <w:t>改进</w:t>
            </w:r>
          </w:p>
        </w:tc>
        <w:tc>
          <w:tcPr>
            <w:tcW w:w="3649" w:type="pct"/>
          </w:tcPr>
          <w:p w14:paraId="23486DF4">
            <w:pPr>
              <w:spacing w:after="0" w:line="240" w:lineRule="auto"/>
              <w:rPr>
                <w:sz w:val="24"/>
                <w:szCs w:val="21"/>
                <w:lang w:eastAsia="zh-CN"/>
              </w:rPr>
            </w:pPr>
            <w:r>
              <w:rPr>
                <w:rFonts w:ascii="Times New Roman" w:hAnsi="Times New Roman" w:eastAsia="宋体"/>
                <w:sz w:val="24"/>
                <w:szCs w:val="21"/>
                <w:lang w:eastAsia="zh-CN"/>
              </w:rPr>
              <w:t>可以考虑引入小组合作互助机制，让优生带动基础薄弱的学生。同时，更加精细化地控制每个环节的用时，确保最终的“产出”环节有充足的时间让学生进行展示与同伴互评，真正落实“以读促说”的教学理念。</w:t>
            </w:r>
          </w:p>
        </w:tc>
      </w:tr>
    </w:tbl>
    <w:p w14:paraId="2F98EB52"/>
    <w:sectPr>
      <w:pgSz w:w="11906" w:h="16838"/>
      <w:pgMar w:top="873" w:right="669" w:bottom="873" w:left="669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E1F1E1"/>
    <w:multiLevelType w:val="singleLevel"/>
    <w:tmpl w:val="89E1F1E1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9524A316"/>
    <w:multiLevelType w:val="singleLevel"/>
    <w:tmpl w:val="9524A316"/>
    <w:lvl w:ilvl="0" w:tentative="0">
      <w:start w:val="1"/>
      <w:numFmt w:val="decimal"/>
      <w:suff w:val="space"/>
      <w:lvlText w:val="%1."/>
      <w:lvlJc w:val="left"/>
      <w:pPr>
        <w:ind w:left="52" w:leftChars="0" w:firstLine="0" w:firstLineChars="0"/>
      </w:pPr>
    </w:lvl>
  </w:abstractNum>
  <w:abstractNum w:abstractNumId="2">
    <w:nsid w:val="029C3C6A"/>
    <w:multiLevelType w:val="multilevel"/>
    <w:tmpl w:val="029C3C6A"/>
    <w:lvl w:ilvl="0" w:tentative="0">
      <w:start w:val="1"/>
      <w:numFmt w:val="decimal"/>
      <w:lvlText w:val="%1."/>
      <w:lvlJc w:val="left"/>
      <w:pPr>
        <w:ind w:left="800" w:hanging="44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5A621906"/>
    <w:multiLevelType w:val="multilevel"/>
    <w:tmpl w:val="5A621906"/>
    <w:lvl w:ilvl="0" w:tentative="0">
      <w:start w:val="1"/>
      <w:numFmt w:val="decimal"/>
      <w:lvlText w:val="%1."/>
      <w:lvlJc w:val="left"/>
      <w:pPr>
        <w:ind w:left="800" w:hanging="44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F67B34"/>
    <w:rsid w:val="58962326"/>
    <w:rsid w:val="FFF6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1427</Words>
  <Characters>1575</Characters>
  <Lines>0</Lines>
  <Paragraphs>0</Paragraphs>
  <TotalTime>2</TotalTime>
  <ScaleCrop>false</ScaleCrop>
  <LinksUpToDate>false</LinksUpToDate>
  <CharactersWithSpaces>1634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2026-07-06T17:58:00Z</dcterms:created>
  <dc:creator>vivi</dc:creator>
  <cp:lastModifiedBy>vivi</cp:lastModifiedBy>
  <dcterms:modified xsi:type="dcterms:W3CDTF">2026-07-07T07:03:21Z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296D39C904CB49DD899ABD0EF0A9802D_13</vt:lpwstr>
  </property>
</Properties>
</file>